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0" w:before="2400"/>
      </w:pPr>
      <w:r>
        <w:rPr>
          <w:rFonts w:ascii="Georgia" w:cs="Georgia" w:eastAsia="Georgia" w:hAnsi="Georgia"/>
          <w:b/>
          <w:bCs/>
          <w:color w:val="0F5F5C"/>
          <w:sz w:val="24"/>
          <w:szCs w:val="24"/>
        </w:rPr>
        <w:t xml:space="preserve">Value Masters Academy</w:t>
      </w:r>
    </w:p>
    <w:p>
      <w:pPr>
        <w:spacing w:after="1400"/>
      </w:pPr>
      <w:r>
        <w:rPr>
          <w:rFonts w:ascii="Calibri" w:cs="Calibri" w:eastAsia="Calibri" w:hAnsi="Calibri"/>
          <w:color w:val="4A5561"/>
          <w:sz w:val="20"/>
          <w:szCs w:val="20"/>
        </w:rPr>
        <w:t xml:space="preserve">Prepared by Value Masters Academy for A Level Alliances (ALA)</w:t>
      </w:r>
    </w:p>
    <w:p>
      <w:pPr>
        <w:spacing w:after="120"/>
      </w:pPr>
      <w:r>
        <w:rPr>
          <w:rFonts w:ascii="Georgia" w:cs="Georgia" w:eastAsia="Georgia" w:hAnsi="Georgia"/>
          <w:color w:val="1B2530"/>
          <w:sz w:val="36"/>
          <w:szCs w:val="36"/>
        </w:rPr>
        <w:t xml:space="preserve">Atmosphere™</w:t>
      </w:r>
    </w:p>
    <w:p>
      <w:pPr>
        <w:spacing w:after="300"/>
      </w:pPr>
      <w:r>
        <w:rPr>
          <w:rFonts w:ascii="Georgia" w:cs="Georgia" w:eastAsia="Georgia" w:hAnsi="Georgia"/>
          <w:b/>
          <w:bCs/>
          <w:color w:val="1B2530"/>
          <w:sz w:val="64"/>
          <w:szCs w:val="64"/>
        </w:rPr>
        <w:t xml:space="preserve">Formation Round Playbook</w:t>
      </w:r>
    </w:p>
    <w:p>
      <w:pPr>
        <w:pBdr>
          <w:left w:val="single" w:color="0F5F5C" w:sz="24" w:space="12"/>
        </w:pBdr>
        <w:spacing w:after="500" w:line="320"/>
        <w:ind w:left="200"/>
      </w:pPr>
      <w:r>
        <w:rPr>
          <w:rFonts w:ascii="Georgia" w:cs="Georgia" w:eastAsia="Georgia" w:hAnsi="Georgia"/>
          <w:color w:val="4A5561"/>
          <w:sz w:val="24"/>
          <w:szCs w:val="24"/>
        </w:rPr>
        <w:t xml:space="preserve">The business plan for Atmosphere's first venue and the playbook for the alliance that funds it: seven revenue lines, an eleven-position skeleton, a membership architecture that sells recognition rather than access, and a ~$8M round released in two gated tranches.</w:t>
      </w:r>
    </w:p>
    <w:p>
      <w:pPr>
        <w:spacing w:after="100"/>
      </w:pPr>
      <w:r>
        <w:rPr>
          <w:rFonts w:ascii="Calibri" w:cs="Calibri" w:eastAsia="Calibri" w:hAnsi="Calibri"/>
          <w:color w:val="4A5561"/>
          <w:sz w:val="20"/>
          <w:szCs w:val="20"/>
        </w:rPr>
        <w:t xml:space="preserve">Prepared for prospective Formation Round participants (verified accredited investors) and for deliberation at the Founders' Council · Working draft · 3 September 2026</w:t>
      </w:r>
    </w:p>
    <w:p>
      <w:pPr>
        <w:spacing w:after="100"/>
      </w:pPr>
      <w:r>
        <w:rPr>
          <w:rFonts w:ascii="Calibri" w:cs="Calibri" w:eastAsia="Calibri" w:hAnsi="Calibri"/>
          <w:color w:val="4A5561"/>
          <w:sz w:val="20"/>
          <w:szCs w:val="20"/>
        </w:rPr>
        <w:t xml:space="preserve">Advisory document prepared for deliberation and resolution at the Founders’ Council</w:t>
      </w:r>
    </w:p>
    <w:p>
      <w:pPr>
        <w:spacing w:before="1800"/>
      </w:pPr>
      <w:r>
        <w:rPr>
          <w:rFonts w:ascii="Calibri" w:cs="Calibri" w:eastAsia="Calibri" w:hAnsi="Calibri"/>
          <w:b/>
          <w:bCs/>
          <w:color w:val="1B2530"/>
          <w:sz w:val="20"/>
          <w:szCs w:val="20"/>
        </w:rPr>
        <w:t xml:space="preserve">Strictly private and confidential</w:t>
      </w:r>
    </w:p>
    <w:p>
      <w:r>
        <w:rPr>
          <w:rFonts w:ascii="Calibri" w:cs="Calibri" w:eastAsia="Calibri" w:hAnsi="Calibri"/>
          <w:color w:val="4A5561"/>
          <w:sz w:val="20"/>
          <w:szCs w:val="20"/>
        </w:rPr>
        <w:t xml:space="preserve">Rev.02 · 3.9.2026</w:t>
      </w:r>
    </w:p>
    <w:p>
      <w:r>
        <w:br w:type="page"/>
      </w:r>
    </w:p>
    <w:p>
      <w:pPr>
        <w:pStyle w:val="Heading1"/>
      </w:pPr>
      <w:r>
        <w:t xml:space="preserve">Advisory notice</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0F5F5C" w:sz="18"/>
              <w:left w:val="single" w:color="0F5F5C" w:sz="18"/>
              <w:bottom w:val="single" w:color="0F5F5C" w:sz="18"/>
              <w:right w:val="single" w:color="0F5F5C" w:sz="18"/>
            </w:tcBorders>
            <w:shd w:fill="D6E7E4" w:color="auto" w:val="clear"/>
            <w:tcMar>
              <w:top w:type="dxa" w:w="240"/>
              <w:left w:type="dxa" w:w="280"/>
              <w:bottom w:type="dxa" w:w="240"/>
              <w:right w:type="dxa" w:w="280"/>
            </w:tcMar>
          </w:tcPr>
          <w:p>
            <w:pPr>
              <w:spacing w:after="200" w:line="320"/>
            </w:pPr>
            <w:r>
              <w:rPr>
                <w:b/>
                <w:bCs/>
                <w:i w:val="false"/>
                <w:iCs w:val="false"/>
                <w:sz w:val="22"/>
                <w:szCs w:val="22"/>
              </w:rPr>
              <w:t xml:space="preserve">Status of this document.</w:t>
            </w:r>
            <w:r>
              <w:rPr>
                <w:i w:val="false"/>
                <w:iCs w:val="false"/>
                <w:sz w:val="22"/>
                <w:szCs w:val="22"/>
              </w:rPr>
              <w:t xml:space="preserve"> All information, documents, definitions, calculations and pricing prepared by Value Masters Academy for A Level Alliances are prepared as recommendations to the Founders' Council. Nothing here is a decision, a commitment, an offer of securities, or investment, legal, tax or accounting advice. Every figure is indicative; every open item is marked </w:t>
            </w:r>
            <w:r>
              <w:rPr>
                <w:b/>
                <w:bCs/>
                <w:i w:val="false"/>
                <w:iCs w:val="false"/>
                <w:color w:val="8A5A12"/>
                <w:sz w:val="22"/>
                <w:szCs w:val="22"/>
                <w:shd w:fill="F6ECD7" w:val="clear"/>
              </w:rPr>
              <w:t xml:space="preserve">[Council decides]</w:t>
            </w:r>
            <w:r>
              <w:rPr>
                <w:i w:val="false"/>
                <w:iCs w:val="false"/>
                <w:sz w:val="22"/>
                <w:szCs w:val="22"/>
              </w:rPr>
              <w:t xml:space="preserve">. Third parties are named as independent market reference only. "5th Wall" as used here is unrelated to the venture firm of the same name.</w:t>
            </w:r>
          </w:p>
          <w:p>
            <w:pPr>
              <w:spacing w:after="0" w:line="320"/>
            </w:pPr>
            <w:r>
              <w:rPr>
                <w:b/>
                <w:bCs/>
                <w:i w:val="false"/>
                <w:iCs w:val="false"/>
                <w:sz w:val="22"/>
                <w:szCs w:val="22"/>
              </w:rPr>
              <w:t xml:space="preserve">Advisory notice.</w:t>
            </w:r>
            <w:r>
              <w:rPr>
                <w:i w:val="false"/>
                <w:iCs w:val="false"/>
                <w:sz w:val="22"/>
                <w:szCs w:val="22"/>
              </w:rPr>
              <w:t xml:space="preserve"> All information, documents, definitions, calculations and pricing prepared by Value Masters Academy for A Level Alliances are prepared as recommendations to the Founders' Council. They are submitted for deliberation and resolution and do not constitute a decision, a commitment, an offer of securities, or investment, legal, tax or accounting advice. Figures drawn from public sources have not been independently verified; indicative bands and illustrative frameworks are not projections.</w:t>
            </w:r>
          </w:p>
        </w:tc>
      </w:tr>
    </w:tbl>
    <w:p>
      <w:pPr>
        <w:spacing w:before="300"/>
      </w:pPr>
      <w:r>
        <w:rPr>
          <w:rFonts w:ascii="Calibri" w:cs="Calibri" w:eastAsia="Calibri" w:hAnsi="Calibri"/>
          <w:color w:val="4A5561"/>
          <w:sz w:val="18"/>
          <w:szCs w:val="18"/>
        </w:rPr>
        <w:t xml:space="preserve">Value Masters Academy for A Level Alliances (ALA)  ·  Atmosphere™ · Formation Round Playbook · Rev.02 · September 2026</w:t>
      </w:r>
    </w:p>
    <w:p>
      <w:r>
        <w:br w:type="page"/>
      </w:r>
    </w:p>
    <w:p>
      <w:pPr>
        <w:pStyle w:val="Heading1"/>
      </w:pPr>
      <w:r>
        <w:t xml:space="preserve">Contents</w:t>
      </w:r>
    </w:p>
    <w:p>
      <w:pPr>
        <w:tabs>
          <w:tab w:val="right" w:pos="10080" w:leader="dot"/>
        </w:tabs>
        <w:spacing w:after="90" w:line="300"/>
      </w:pPr>
      <w:r>
        <w:rPr>
          <w:rFonts w:ascii="Georgia" w:cs="Georgia" w:eastAsia="Georgia" w:hAnsi="Georgia"/>
          <w:b/>
          <w:bCs/>
          <w:color w:val="0F5F5C"/>
          <w:sz w:val="22"/>
          <w:szCs w:val="22"/>
        </w:rPr>
        <w:t xml:space="preserve">1</w:t>
      </w:r>
      <w:r>
        <w:rPr>
          <w:rFonts w:ascii="Georgia" w:cs="Georgia" w:eastAsia="Georgia" w:hAnsi="Georgia"/>
          <w:color w:val="1B2530"/>
          <w:sz w:val="22"/>
          <w:szCs w:val="22"/>
        </w:rPr>
        <w:t xml:space="preserve"> Executive summary</w:t>
      </w:r>
      <w:r>
        <w:rPr>
          <w:rFonts w:ascii="Calibri" w:cs="Calibri" w:eastAsia="Calibri" w:hAnsi="Calibri"/>
          <w:color w:val="4A5561"/>
          <w:sz w:val="20"/>
          <w:szCs w:val="20"/>
        </w:rPr>
        <w:t xml:space="preserve">	4</w:t>
      </w:r>
    </w:p>
    <w:p>
      <w:pPr>
        <w:tabs>
          <w:tab w:val="right" w:pos="10080" w:leader="dot"/>
        </w:tabs>
        <w:spacing w:after="90" w:line="300"/>
      </w:pPr>
      <w:r>
        <w:rPr>
          <w:rFonts w:ascii="Georgia" w:cs="Georgia" w:eastAsia="Georgia" w:hAnsi="Georgia"/>
          <w:b/>
          <w:bCs/>
          <w:color w:val="0F5F5C"/>
          <w:sz w:val="22"/>
          <w:szCs w:val="22"/>
        </w:rPr>
        <w:t xml:space="preserve">2</w:t>
      </w:r>
      <w:r>
        <w:rPr>
          <w:rFonts w:ascii="Georgia" w:cs="Georgia" w:eastAsia="Georgia" w:hAnsi="Georgia"/>
          <w:color w:val="1B2530"/>
          <w:sz w:val="22"/>
          <w:szCs w:val="22"/>
        </w:rPr>
        <w:t xml:space="preserve"> The opportunity — two mismatches, one box</w:t>
      </w:r>
      <w:r>
        <w:rPr>
          <w:rFonts w:ascii="Calibri" w:cs="Calibri" w:eastAsia="Calibri" w:hAnsi="Calibri"/>
          <w:color w:val="4A5561"/>
          <w:sz w:val="20"/>
          <w:szCs w:val="20"/>
        </w:rPr>
        <w:t xml:space="preserve">	5</w:t>
      </w:r>
    </w:p>
    <w:p>
      <w:pPr>
        <w:tabs>
          <w:tab w:val="right" w:pos="10080" w:leader="dot"/>
        </w:tabs>
        <w:spacing w:after="90" w:line="300"/>
      </w:pPr>
      <w:r>
        <w:rPr>
          <w:rFonts w:ascii="Georgia" w:cs="Georgia" w:eastAsia="Georgia" w:hAnsi="Georgia"/>
          <w:b/>
          <w:bCs/>
          <w:color w:val="0F5F5C"/>
          <w:sz w:val="22"/>
          <w:szCs w:val="22"/>
        </w:rPr>
        <w:t xml:space="preserve">3</w:t>
      </w:r>
      <w:r>
        <w:rPr>
          <w:rFonts w:ascii="Georgia" w:cs="Georgia" w:eastAsia="Georgia" w:hAnsi="Georgia"/>
          <w:color w:val="1B2530"/>
          <w:sz w:val="22"/>
          <w:szCs w:val="22"/>
        </w:rPr>
        <w:t xml:space="preserve"> The product — one floor, seven ways to earn</w:t>
      </w:r>
      <w:r>
        <w:rPr>
          <w:rFonts w:ascii="Calibri" w:cs="Calibri" w:eastAsia="Calibri" w:hAnsi="Calibri"/>
          <w:color w:val="4A5561"/>
          <w:sz w:val="20"/>
          <w:szCs w:val="20"/>
        </w:rPr>
        <w:t xml:space="preserve">	7</w:t>
      </w:r>
    </w:p>
    <w:p>
      <w:pPr>
        <w:tabs>
          <w:tab w:val="right" w:pos="10080" w:leader="dot"/>
        </w:tabs>
        <w:spacing w:after="90" w:line="300"/>
      </w:pPr>
      <w:r>
        <w:rPr>
          <w:rFonts w:ascii="Georgia" w:cs="Georgia" w:eastAsia="Georgia" w:hAnsi="Georgia"/>
          <w:b/>
          <w:bCs/>
          <w:color w:val="0F5F5C"/>
          <w:sz w:val="22"/>
          <w:szCs w:val="22"/>
        </w:rPr>
        <w:t xml:space="preserve">4</w:t>
      </w:r>
      <w:r>
        <w:rPr>
          <w:rFonts w:ascii="Georgia" w:cs="Georgia" w:eastAsia="Georgia" w:hAnsi="Georgia"/>
          <w:color w:val="1B2530"/>
          <w:sz w:val="22"/>
          <w:szCs w:val="22"/>
        </w:rPr>
        <w:t xml:space="preserve"> Users, Visitors &amp; Beyond — the membership architecture</w:t>
      </w:r>
      <w:r>
        <w:rPr>
          <w:rFonts w:ascii="Calibri" w:cs="Calibri" w:eastAsia="Calibri" w:hAnsi="Calibri"/>
          <w:color w:val="4A5561"/>
          <w:sz w:val="20"/>
          <w:szCs w:val="20"/>
        </w:rPr>
        <w:t xml:space="preserve">	9</w:t>
      </w:r>
    </w:p>
    <w:p>
      <w:pPr>
        <w:tabs>
          <w:tab w:val="right" w:pos="10080" w:leader="dot"/>
        </w:tabs>
        <w:spacing w:after="90" w:line="300"/>
      </w:pPr>
      <w:r>
        <w:rPr>
          <w:rFonts w:ascii="Georgia" w:cs="Georgia" w:eastAsia="Georgia" w:hAnsi="Georgia"/>
          <w:b/>
          <w:bCs/>
          <w:color w:val="0F5F5C"/>
          <w:sz w:val="22"/>
          <w:szCs w:val="22"/>
        </w:rPr>
        <w:t xml:space="preserve">5</w:t>
      </w:r>
      <w:r>
        <w:rPr>
          <w:rFonts w:ascii="Georgia" w:cs="Georgia" w:eastAsia="Georgia" w:hAnsi="Georgia"/>
          <w:color w:val="1B2530"/>
          <w:sz w:val="22"/>
          <w:szCs w:val="22"/>
        </w:rPr>
        <w:t xml:space="preserve"> Business model and unit economics</w:t>
      </w:r>
      <w:r>
        <w:rPr>
          <w:rFonts w:ascii="Calibri" w:cs="Calibri" w:eastAsia="Calibri" w:hAnsi="Calibri"/>
          <w:color w:val="4A5561"/>
          <w:sz w:val="20"/>
          <w:szCs w:val="20"/>
        </w:rPr>
        <w:t xml:space="preserve">	14</w:t>
      </w:r>
    </w:p>
    <w:p>
      <w:pPr>
        <w:tabs>
          <w:tab w:val="right" w:pos="10080" w:leader="dot"/>
        </w:tabs>
        <w:spacing w:after="90" w:line="300"/>
      </w:pPr>
      <w:r>
        <w:rPr>
          <w:rFonts w:ascii="Georgia" w:cs="Georgia" w:eastAsia="Georgia" w:hAnsi="Georgia"/>
          <w:b/>
          <w:bCs/>
          <w:color w:val="0F5F5C"/>
          <w:sz w:val="22"/>
          <w:szCs w:val="22"/>
        </w:rPr>
        <w:t xml:space="preserve">6</w:t>
      </w:r>
      <w:r>
        <w:rPr>
          <w:rFonts w:ascii="Georgia" w:cs="Georgia" w:eastAsia="Georgia" w:hAnsi="Georgia"/>
          <w:color w:val="1B2530"/>
          <w:sz w:val="22"/>
          <w:szCs w:val="22"/>
        </w:rPr>
        <w:t xml:space="preserve"> Precedents — what we copy, what we avoid</w:t>
      </w:r>
      <w:r>
        <w:rPr>
          <w:rFonts w:ascii="Calibri" w:cs="Calibri" w:eastAsia="Calibri" w:hAnsi="Calibri"/>
          <w:color w:val="4A5561"/>
          <w:sz w:val="20"/>
          <w:szCs w:val="20"/>
        </w:rPr>
        <w:t xml:space="preserve">	16</w:t>
      </w:r>
    </w:p>
    <w:p>
      <w:pPr>
        <w:tabs>
          <w:tab w:val="right" w:pos="10080" w:leader="dot"/>
        </w:tabs>
        <w:spacing w:after="90" w:line="300"/>
      </w:pPr>
      <w:r>
        <w:rPr>
          <w:rFonts w:ascii="Georgia" w:cs="Georgia" w:eastAsia="Georgia" w:hAnsi="Georgia"/>
          <w:b/>
          <w:bCs/>
          <w:color w:val="0F5F5C"/>
          <w:sz w:val="22"/>
          <w:szCs w:val="22"/>
        </w:rPr>
        <w:t xml:space="preserve">7</w:t>
      </w:r>
      <w:r>
        <w:rPr>
          <w:rFonts w:ascii="Georgia" w:cs="Georgia" w:eastAsia="Georgia" w:hAnsi="Georgia"/>
          <w:color w:val="1B2530"/>
          <w:sz w:val="22"/>
          <w:szCs w:val="22"/>
        </w:rPr>
        <w:t xml:space="preserve"> The Alliance Skeleton — what the capital funds</w:t>
      </w:r>
      <w:r>
        <w:rPr>
          <w:rFonts w:ascii="Calibri" w:cs="Calibri" w:eastAsia="Calibri" w:hAnsi="Calibri"/>
          <w:color w:val="4A5561"/>
          <w:sz w:val="20"/>
          <w:szCs w:val="20"/>
        </w:rPr>
        <w:t xml:space="preserve">	17</w:t>
      </w:r>
    </w:p>
    <w:p>
      <w:pPr>
        <w:tabs>
          <w:tab w:val="right" w:pos="10080" w:leader="dot"/>
        </w:tabs>
        <w:spacing w:after="90" w:line="300"/>
      </w:pPr>
      <w:r>
        <w:rPr>
          <w:rFonts w:ascii="Georgia" w:cs="Georgia" w:eastAsia="Georgia" w:hAnsi="Georgia"/>
          <w:b/>
          <w:bCs/>
          <w:color w:val="0F5F5C"/>
          <w:sz w:val="22"/>
          <w:szCs w:val="22"/>
        </w:rPr>
        <w:t xml:space="preserve">8</w:t>
      </w:r>
      <w:r>
        <w:rPr>
          <w:rFonts w:ascii="Georgia" w:cs="Georgia" w:eastAsia="Georgia" w:hAnsi="Georgia"/>
          <w:color w:val="1B2530"/>
          <w:sz w:val="22"/>
          <w:szCs w:val="22"/>
        </w:rPr>
        <w:t xml:space="preserve"> The Formation Round</w:t>
      </w:r>
      <w:r>
        <w:rPr>
          <w:rFonts w:ascii="Calibri" w:cs="Calibri" w:eastAsia="Calibri" w:hAnsi="Calibri"/>
          <w:color w:val="4A5561"/>
          <w:sz w:val="20"/>
          <w:szCs w:val="20"/>
        </w:rPr>
        <w:t xml:space="preserve">	19</w:t>
      </w:r>
    </w:p>
    <w:p>
      <w:pPr>
        <w:tabs>
          <w:tab w:val="right" w:pos="10080" w:leader="dot"/>
        </w:tabs>
        <w:spacing w:after="90" w:line="300"/>
      </w:pPr>
      <w:r>
        <w:rPr>
          <w:rFonts w:ascii="Georgia" w:cs="Georgia" w:eastAsia="Georgia" w:hAnsi="Georgia"/>
          <w:b/>
          <w:bCs/>
          <w:color w:val="0F5F5C"/>
          <w:sz w:val="22"/>
          <w:szCs w:val="22"/>
        </w:rPr>
        <w:t xml:space="preserve">9</w:t>
      </w:r>
      <w:r>
        <w:rPr>
          <w:rFonts w:ascii="Georgia" w:cs="Georgia" w:eastAsia="Georgia" w:hAnsi="Georgia"/>
          <w:color w:val="1B2530"/>
          <w:sz w:val="22"/>
          <w:szCs w:val="22"/>
        </w:rPr>
        <w:t xml:space="preserve"> The sequence playbook — who signs when</w:t>
      </w:r>
      <w:r>
        <w:rPr>
          <w:rFonts w:ascii="Calibri" w:cs="Calibri" w:eastAsia="Calibri" w:hAnsi="Calibri"/>
          <w:color w:val="4A5561"/>
          <w:sz w:val="20"/>
          <w:szCs w:val="20"/>
        </w:rPr>
        <w:t xml:space="preserve">	21</w:t>
      </w:r>
    </w:p>
    <w:p>
      <w:pPr>
        <w:tabs>
          <w:tab w:val="right" w:pos="10080" w:leader="dot"/>
        </w:tabs>
        <w:spacing w:after="90" w:line="300"/>
      </w:pPr>
      <w:r>
        <w:rPr>
          <w:rFonts w:ascii="Georgia" w:cs="Georgia" w:eastAsia="Georgia" w:hAnsi="Georgia"/>
          <w:b/>
          <w:bCs/>
          <w:color w:val="0F5F5C"/>
          <w:sz w:val="22"/>
          <w:szCs w:val="22"/>
        </w:rPr>
        <w:t xml:space="preserve">10</w:t>
      </w:r>
      <w:r>
        <w:rPr>
          <w:rFonts w:ascii="Georgia" w:cs="Georgia" w:eastAsia="Georgia" w:hAnsi="Georgia"/>
          <w:color w:val="1B2530"/>
          <w:sz w:val="22"/>
          <w:szCs w:val="22"/>
        </w:rPr>
        <w:t xml:space="preserve"> Governance and structure</w:t>
      </w:r>
      <w:r>
        <w:rPr>
          <w:rFonts w:ascii="Calibri" w:cs="Calibri" w:eastAsia="Calibri" w:hAnsi="Calibri"/>
          <w:color w:val="4A5561"/>
          <w:sz w:val="20"/>
          <w:szCs w:val="20"/>
        </w:rPr>
        <w:t xml:space="preserve">	23</w:t>
      </w:r>
    </w:p>
    <w:p>
      <w:pPr>
        <w:tabs>
          <w:tab w:val="right" w:pos="10080" w:leader="dot"/>
        </w:tabs>
        <w:spacing w:after="90" w:line="300"/>
      </w:pPr>
      <w:r>
        <w:rPr>
          <w:rFonts w:ascii="Georgia" w:cs="Georgia" w:eastAsia="Georgia" w:hAnsi="Georgia"/>
          <w:b/>
          <w:bCs/>
          <w:color w:val="0F5F5C"/>
          <w:sz w:val="22"/>
          <w:szCs w:val="22"/>
        </w:rPr>
        <w:t xml:space="preserve">11</w:t>
      </w:r>
      <w:r>
        <w:rPr>
          <w:rFonts w:ascii="Georgia" w:cs="Georgia" w:eastAsia="Georgia" w:hAnsi="Georgia"/>
          <w:color w:val="1B2530"/>
          <w:sz w:val="22"/>
          <w:szCs w:val="22"/>
        </w:rPr>
        <w:t xml:space="preserve"> Risk register — the pressure test, in investor form</w:t>
      </w:r>
      <w:r>
        <w:rPr>
          <w:rFonts w:ascii="Calibri" w:cs="Calibri" w:eastAsia="Calibri" w:hAnsi="Calibri"/>
          <w:color w:val="4A5561"/>
          <w:sz w:val="20"/>
          <w:szCs w:val="20"/>
        </w:rPr>
        <w:t xml:space="preserve">	24</w:t>
      </w:r>
    </w:p>
    <w:p>
      <w:pPr>
        <w:tabs>
          <w:tab w:val="right" w:pos="10080" w:leader="dot"/>
        </w:tabs>
        <w:spacing w:after="90" w:line="300"/>
      </w:pPr>
      <w:r>
        <w:rPr>
          <w:rFonts w:ascii="Georgia" w:cs="Georgia" w:eastAsia="Georgia" w:hAnsi="Georgia"/>
          <w:b/>
          <w:bCs/>
          <w:color w:val="0F5F5C"/>
          <w:sz w:val="22"/>
          <w:szCs w:val="22"/>
        </w:rPr>
        <w:t xml:space="preserve">12</w:t>
      </w:r>
      <w:r>
        <w:rPr>
          <w:rFonts w:ascii="Georgia" w:cs="Georgia" w:eastAsia="Georgia" w:hAnsi="Georgia"/>
          <w:color w:val="1B2530"/>
          <w:sz w:val="22"/>
          <w:szCs w:val="22"/>
        </w:rPr>
        <w:t xml:space="preserve"> Twelve-month scoreboard — what Venue-0 must prove</w:t>
      </w:r>
      <w:r>
        <w:rPr>
          <w:rFonts w:ascii="Calibri" w:cs="Calibri" w:eastAsia="Calibri" w:hAnsi="Calibri"/>
          <w:color w:val="4A5561"/>
          <w:sz w:val="20"/>
          <w:szCs w:val="20"/>
        </w:rPr>
        <w:t xml:space="preserve">	26</w:t>
      </w:r>
    </w:p>
    <w:p>
      <w:pPr>
        <w:tabs>
          <w:tab w:val="right" w:pos="10080" w:leader="dot"/>
        </w:tabs>
        <w:spacing w:after="90" w:line="300"/>
      </w:pPr>
      <w:r>
        <w:rPr>
          <w:rFonts w:ascii="Georgia" w:cs="Georgia" w:eastAsia="Georgia" w:hAnsi="Georgia"/>
          <w:b/>
          <w:bCs/>
          <w:color w:val="0F5F5C"/>
          <w:sz w:val="22"/>
          <w:szCs w:val="22"/>
        </w:rPr>
        <w:t xml:space="preserve">13</w:t>
      </w:r>
      <w:r>
        <w:rPr>
          <w:rFonts w:ascii="Georgia" w:cs="Georgia" w:eastAsia="Georgia" w:hAnsi="Georgia"/>
          <w:color w:val="1B2530"/>
          <w:sz w:val="22"/>
          <w:szCs w:val="22"/>
        </w:rPr>
        <w:t xml:space="preserve"> What the Council should resolve before the round goes out</w:t>
      </w:r>
      <w:r>
        <w:rPr>
          <w:rFonts w:ascii="Calibri" w:cs="Calibri" w:eastAsia="Calibri" w:hAnsi="Calibri"/>
          <w:color w:val="4A5561"/>
          <w:sz w:val="20"/>
          <w:szCs w:val="20"/>
        </w:rPr>
        <w:t xml:space="preserve">	27</w:t>
      </w:r>
    </w:p>
    <w:p>
      <w:pPr>
        <w:tabs>
          <w:tab w:val="right" w:pos="10080" w:leader="dot"/>
        </w:tabs>
        <w:spacing w:after="90" w:line="300"/>
      </w:pPr>
      <w:r>
        <w:rPr>
          <w:rFonts w:ascii="Georgia" w:cs="Georgia" w:eastAsia="Georgia" w:hAnsi="Georgia"/>
          <w:b/>
          <w:bCs/>
          <w:color w:val="0F5F5C"/>
          <w:sz w:val="22"/>
          <w:szCs w:val="22"/>
        </w:rPr>
        <w:t xml:space="preserve">A</w:t>
      </w:r>
      <w:r>
        <w:rPr>
          <w:rFonts w:ascii="Georgia" w:cs="Georgia" w:eastAsia="Georgia" w:hAnsi="Georgia"/>
          <w:color w:val="1B2530"/>
          <w:sz w:val="22"/>
          <w:szCs w:val="22"/>
        </w:rPr>
        <w:t xml:space="preserve"> Sources — the Arms</w:t>
      </w:r>
      <w:r>
        <w:rPr>
          <w:rFonts w:ascii="Calibri" w:cs="Calibri" w:eastAsia="Calibri" w:hAnsi="Calibri"/>
          <w:color w:val="4A5561"/>
          <w:sz w:val="20"/>
          <w:szCs w:val="20"/>
        </w:rPr>
        <w:t xml:space="preserve">	28</w:t>
      </w:r>
    </w:p>
    <w:p>
      <w:pPr>
        <w:tabs>
          <w:tab w:val="right" w:pos="10080" w:leader="dot"/>
        </w:tabs>
        <w:spacing w:after="90" w:line="300"/>
      </w:pPr>
      <w:r>
        <w:rPr>
          <w:rFonts w:ascii="Georgia" w:cs="Georgia" w:eastAsia="Georgia" w:hAnsi="Georgia"/>
          <w:b/>
          <w:bCs/>
          <w:color w:val="0F5F5C"/>
          <w:sz w:val="22"/>
          <w:szCs w:val="22"/>
        </w:rPr>
        <w:t xml:space="preserve">B</w:t>
      </w:r>
      <w:r>
        <w:rPr>
          <w:rFonts w:ascii="Georgia" w:cs="Georgia" w:eastAsia="Georgia" w:hAnsi="Georgia"/>
          <w:color w:val="1B2530"/>
          <w:sz w:val="22"/>
          <w:szCs w:val="22"/>
        </w:rPr>
        <w:t xml:space="preserve"> Glossary</w:t>
      </w:r>
      <w:r>
        <w:rPr>
          <w:rFonts w:ascii="Calibri" w:cs="Calibri" w:eastAsia="Calibri" w:hAnsi="Calibri"/>
          <w:color w:val="4A5561"/>
          <w:sz w:val="20"/>
          <w:szCs w:val="20"/>
        </w:rPr>
        <w:t xml:space="preserve">	29</w:t>
      </w:r>
    </w:p>
    <w:p>
      <w:r>
        <w:br w:type="page"/>
      </w:r>
    </w:p>
    <w:p>
      <w:pPr>
        <w:pStyle w:val="Heading1"/>
      </w:pPr>
      <w:r>
        <w:rPr>
          <w:color w:val="0F5F5C"/>
        </w:rPr>
        <w:t xml:space="preserve">1 </w:t>
      </w:r>
      <w:r>
        <w:t xml:space="preserve">Executive summary</w:t>
      </w:r>
    </w:p>
    <w:p>
      <w:pPr>
        <w:spacing w:after="140" w:line="300"/>
      </w:pPr>
      <w:r>
        <w:rPr>
          <w:b/>
          <w:bCs/>
          <w:i w:val="false"/>
          <w:iCs w:val="false"/>
        </w:rPr>
        <w:t xml:space="preserve">What we are.</w:t>
      </w:r>
      <w:r>
        <w:rPr>
          <w:i w:val="false"/>
          <w:iCs w:val="false"/>
        </w:rPr>
        <w:t xml:space="preserve"> Atmosphere converts stranded US retail — the dead anchor box, the zombie mall wing — into a membership-anchored Phygital Marketplace: a third place that earns on seven lines on the same square footage where a mall earns on one, run on hotel yield discipline and measured in RevPAM at three scales (metre, member, household). It is operated by A Level Alliances (Reno, NV), built by 5th Wall Phygital Elements, and descends from Qumbet (Hong Kong, 2000): 10,000+ street-furniture units across eight countries on multi-decade public concessions.</w:t>
      </w:r>
    </w:p>
    <w:p>
      <w:pPr>
        <w:spacing w:after="140" w:line="300"/>
      </w:pPr>
      <w:r>
        <w:rPr>
          <w:b/>
          <w:bCs/>
          <w:i w:val="false"/>
          <w:iCs w:val="false"/>
        </w:rPr>
        <w:t xml:space="preserve">Why now.</w:t>
      </w:r>
      <w:r>
        <w:rPr>
          <w:i w:val="false"/>
          <w:iCs w:val="false"/>
        </w:rPr>
        <w:t xml:space="preserve"> Two mismatches meet in one box. On the demand side, 30.4M US nonemployer businesses produce $1.8T a year with no physical counter, and 100,000+ million-dollar online sellers pay roughly half their revenue in marketplace tolls with no third door. On the supply side, Class B/C mall boxes are being written off at 70–80% loss severities while overall retail vacancy sits at record lows — which is exactly why splitting one distressed box among 300 daily-priced tenants out-earns any single lease.</w:t>
      </w:r>
    </w:p>
    <w:p>
      <w:pPr>
        <w:spacing w:after="140" w:line="300"/>
      </w:pPr>
      <w:r>
        <w:rPr>
          <w:b/>
          <w:bCs/>
          <w:i w:val="false"/>
          <w:iCs w:val="false"/>
        </w:rPr>
        <w:t xml:space="preserve">Who walks in.</w:t>
      </w:r>
      <w:r>
        <w:rPr>
          <w:i w:val="false"/>
          <w:iCs w:val="false"/>
        </w:rPr>
        <w:t xml:space="preserve"> The door stays open; membership is never a condition of entry. Membership sells recognition, not access. Six measured figures — the Maker, the Solo Professional, the Retired Master, the Unlaunched, the Conscious Shopper, the Reconnector — land in seven tiers across three families: Visitors, Users and Beyond. In a 500,000-person trade area roughly 130,000 adults already pay dues for a membership of some kind; the building asks them to redirect a habit, not learn one.</w:t>
      </w:r>
    </w:p>
    <w:p>
      <w:pPr>
        <w:spacing w:after="140" w:line="300"/>
      </w:pPr>
      <w:r>
        <w:rPr>
          <w:b/>
          <w:bCs/>
          <w:i w:val="false"/>
          <w:iCs w:val="false"/>
        </w:rPr>
        <w:t xml:space="preserve">How we earn.</w:t>
      </w:r>
      <w:r>
        <w:rPr>
          <w:i w:val="false"/>
          <w:iCs w:val="false"/>
        </w:rPr>
        <w:t xml:space="preserve"> Open Market &amp; Market Hall, Enterprise Arcade, The Stage, Live Commerce Center, Back of House, Media (the PingPod grid) and Membership. Four ALA-owned systems run the floor: OffNdOn books and powers, HuxNet matches, PingPod schedules screens, Fifth Signal prices and measures.</w:t>
      </w:r>
    </w:p>
    <w:p>
      <w:pPr>
        <w:spacing w:after="140" w:line="300"/>
      </w:pPr>
      <w:r>
        <w:rPr>
          <w:b/>
          <w:bCs/>
          <w:i w:val="false"/>
          <w:iCs w:val="false"/>
        </w:rPr>
        <w:t xml:space="preserve">The precedent the market has already paid for.</w:t>
      </w:r>
      <w:r>
        <w:rPr>
          <w:i w:val="false"/>
          <w:iCs w:val="false"/>
        </w:rPr>
        <w:t xml:space="preserve"> CBRE paid ~$800M (January 2025) for Industrious, an operator with no buildings running revenue-share partnerships with landlords. Atmosphere is the retail version of that operator. The rule is Industrious, not WeWork: management or revenue-share agreements with the landlord, never a long lease under the operating company.</w:t>
      </w:r>
    </w:p>
    <w:p>
      <w:pPr>
        <w:spacing w:after="140" w:line="300"/>
      </w:pPr>
      <w:r>
        <w:rPr>
          <w:b/>
          <w:bCs/>
          <w:i w:val="false"/>
          <w:iCs w:val="false"/>
        </w:rPr>
        <w:t xml:space="preserve">The ask.</w:t>
      </w:r>
      <w:r>
        <w:rPr>
          <w:i w:val="false"/>
          <w:iCs w:val="false"/>
        </w:rPr>
        <w:t xml:space="preserve"> A Formation Round of approximately $8M in two tranches, structured as a private placement for verified accredited investors, to open one proof-of-concept venue and produce a measured RevPAM figure within twelve months. Tranche 2 is gated on Tranche 1 milestones.</w:t>
      </w:r>
    </w:p>
    <w:p>
      <w:pPr>
        <w:spacing w:after="140" w:line="300"/>
      </w:pPr>
      <w:r>
        <w:rPr>
          <w:b/>
          <w:bCs/>
          <w:i w:val="false"/>
          <w:iCs w:val="false"/>
        </w:rPr>
        <w:t xml:space="preserve">What makes the round different.</w:t>
      </w:r>
      <w:r>
        <w:rPr>
          <w:i w:val="false"/>
          <w:iCs w:val="false"/>
        </w:rPr>
        <w:t xml:space="preserve"> The capital funds a body, not a company that later goes looking for partners: an Alliance Skeleton of ten numbered positions plus a Trust Ally, admitted in order through one legal funnel that a Legal Ally builds under a Stewardship Mandate — equity, fiduciary duty, narrow governance and escrow — rather than billable hours.</w:t>
      </w:r>
    </w:p>
    <w:p>
      <w:r>
        <w:br w:type="page"/>
      </w:r>
    </w:p>
    <w:p>
      <w:pPr>
        <w:pStyle w:val="Heading1"/>
      </w:pPr>
      <w:r>
        <w:rPr>
          <w:color w:val="0F5F5C"/>
        </w:rPr>
        <w:t xml:space="preserve">2 </w:t>
      </w:r>
      <w:r>
        <w:t xml:space="preserve">The opportunity — two mismatches, one box</w:t>
      </w:r>
    </w:p>
    <w:p>
      <w:pPr>
        <w:pStyle w:val="Heading2"/>
      </w:pPr>
      <w:r>
        <w:rPr>
          <w:i w:val="false"/>
          <w:iCs w:val="false"/>
        </w:rPr>
        <w:t xml:space="preserve">2.1 Demand: below the iceberg, the money is real</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210"/>
        <w:gridCol w:w="3441"/>
        <w:gridCol w:w="3485"/>
        <w:gridCol w:w="1944"/>
      </w:tblGrid>
      <w:tr>
        <w:trPr>
          <w:cantSplit/>
          <w:tblHeader/>
        </w:trPr>
        <w:tc>
          <w:tcPr>
            <w:tcW w:type="dxa" w:w="1210"/>
            <w:tcBorders>
              <w:top w:val="single" w:color="D5DBD6" w:sz="4"/>
              <w:left w:val="none" w:color="FFFFFF" w:sz="0"/>
              <w:bottom w:val="single" w:color="D5DBD6" w:sz="4"/>
              <w:right w:val="none" w:color="FFFFFF" w:sz="0"/>
            </w:tcBorders>
            <w:shd w:fill="1B2530" w:color="auto" w:val="clear"/>
            <w:tcMar>
              <w:top w:type="dxa" w:w="70"/>
              <w:left w:type="dxa" w:w="100"/>
              <w:bottom w:type="dxa" w:w="70"/>
              <w:right w:type="dxa" w:w="100"/>
            </w:tcMar>
            <w:vAlign w:val="top"/>
          </w:tcPr>
          <w:p>
            <w:pPr>
              <w:spacing w:after="0" w:line="260"/>
              <w:jc w:val="left"/>
            </w:pPr>
            <w:r>
              <w:rPr>
                <w:rFonts w:ascii="Calibri" w:cs="Calibri" w:eastAsia="Calibri" w:hAnsi="Calibri"/>
                <w:b/>
                <w:bCs/>
                <w:i w:val="false"/>
                <w:iCs w:val="false"/>
                <w:color w:val="FFFFFF"/>
                <w:sz w:val="18"/>
                <w:szCs w:val="18"/>
              </w:rPr>
              <w:t xml:space="preserve">Layer</w:t>
            </w:r>
          </w:p>
        </w:tc>
        <w:tc>
          <w:tcPr>
            <w:tcW w:type="dxa" w:w="3441"/>
            <w:tcBorders>
              <w:top w:val="single" w:color="D5DBD6" w:sz="4"/>
              <w:left w:val="none" w:color="FFFFFF" w:sz="0"/>
              <w:bottom w:val="single" w:color="D5DBD6" w:sz="4"/>
              <w:right w:val="none" w:color="FFFFFF" w:sz="0"/>
            </w:tcBorders>
            <w:shd w:fill="1B2530" w:color="auto" w:val="clear"/>
            <w:tcMar>
              <w:top w:type="dxa" w:w="70"/>
              <w:left w:type="dxa" w:w="100"/>
              <w:bottom w:type="dxa" w:w="70"/>
              <w:right w:type="dxa" w:w="100"/>
            </w:tcMar>
            <w:vAlign w:val="top"/>
          </w:tcPr>
          <w:p>
            <w:pPr>
              <w:spacing w:after="0" w:line="260"/>
              <w:jc w:val="left"/>
            </w:pPr>
            <w:r>
              <w:rPr>
                <w:rFonts w:ascii="Calibri" w:cs="Calibri" w:eastAsia="Calibri" w:hAnsi="Calibri"/>
                <w:b/>
                <w:bCs/>
                <w:i w:val="false"/>
                <w:iCs w:val="false"/>
                <w:color w:val="FFFFFF"/>
                <w:sz w:val="18"/>
                <w:szCs w:val="18"/>
              </w:rPr>
              <w:t xml:space="preserve">Metric</w:t>
            </w:r>
          </w:p>
        </w:tc>
        <w:tc>
          <w:tcPr>
            <w:tcW w:type="dxa" w:w="3485"/>
            <w:tcBorders>
              <w:top w:val="single" w:color="D5DBD6" w:sz="4"/>
              <w:left w:val="none" w:color="FFFFFF" w:sz="0"/>
              <w:bottom w:val="single" w:color="D5DBD6" w:sz="4"/>
              <w:right w:val="none" w:color="FFFFFF" w:sz="0"/>
            </w:tcBorders>
            <w:shd w:fill="1B2530" w:color="auto" w:val="clear"/>
            <w:tcMar>
              <w:top w:type="dxa" w:w="70"/>
              <w:left w:type="dxa" w:w="100"/>
              <w:bottom w:type="dxa" w:w="70"/>
              <w:right w:type="dxa" w:w="100"/>
            </w:tcMar>
            <w:vAlign w:val="top"/>
          </w:tcPr>
          <w:p>
            <w:pPr>
              <w:spacing w:after="0" w:line="260"/>
              <w:jc w:val="left"/>
            </w:pPr>
            <w:r>
              <w:rPr>
                <w:rFonts w:ascii="Calibri" w:cs="Calibri" w:eastAsia="Calibri" w:hAnsi="Calibri"/>
                <w:b/>
                <w:bCs/>
                <w:i w:val="false"/>
                <w:iCs w:val="false"/>
                <w:color w:val="FFFFFF"/>
                <w:sz w:val="18"/>
                <w:szCs w:val="18"/>
              </w:rPr>
              <w:t xml:space="preserve">Value</w:t>
            </w:r>
          </w:p>
        </w:tc>
        <w:tc>
          <w:tcPr>
            <w:tcW w:type="dxa" w:w="1944"/>
            <w:tcBorders>
              <w:top w:val="single" w:color="D5DBD6" w:sz="4"/>
              <w:left w:val="none" w:color="FFFFFF" w:sz="0"/>
              <w:bottom w:val="single" w:color="D5DBD6" w:sz="4"/>
              <w:right w:val="none" w:color="FFFFFF" w:sz="0"/>
            </w:tcBorders>
            <w:shd w:fill="1B2530" w:color="auto" w:val="clear"/>
            <w:tcMar>
              <w:top w:type="dxa" w:w="70"/>
              <w:left w:type="dxa" w:w="100"/>
              <w:bottom w:type="dxa" w:w="70"/>
              <w:right w:type="dxa" w:w="100"/>
            </w:tcMar>
            <w:vAlign w:val="top"/>
          </w:tcPr>
          <w:p>
            <w:pPr>
              <w:spacing w:after="0" w:line="260"/>
              <w:jc w:val="left"/>
            </w:pPr>
            <w:r>
              <w:rPr>
                <w:rFonts w:ascii="Calibri" w:cs="Calibri" w:eastAsia="Calibri" w:hAnsi="Calibri"/>
                <w:b/>
                <w:bCs/>
                <w:i w:val="false"/>
                <w:iCs w:val="false"/>
                <w:color w:val="FFFFFF"/>
                <w:sz w:val="18"/>
                <w:szCs w:val="18"/>
              </w:rPr>
              <w:t xml:space="preserve">Source</w:t>
            </w:r>
          </w:p>
        </w:tc>
      </w:tr>
      <w:tr>
        <w:trPr>
          <w:cantSplit/>
          <w:tblHeader w:val="false"/>
        </w:trPr>
        <w:tc>
          <w:tcPr>
            <w:tcW w:type="dxa" w:w="121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Tip</w:t>
            </w:r>
          </w:p>
        </w:tc>
        <w:tc>
          <w:tcPr>
            <w:tcW w:type="dxa" w:w="3441"/>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Employer businesses (2023)</w:t>
            </w:r>
          </w:p>
        </w:tc>
        <w:tc>
          <w:tcPr>
            <w:tcW w:type="dxa" w:w="3485"/>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5.58M</w:t>
            </w:r>
          </w:p>
        </w:tc>
        <w:tc>
          <w:tcPr>
            <w:tcW w:type="dxa" w:w="1944"/>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Census BDS</w:t>
            </w:r>
          </w:p>
        </w:tc>
      </w:tr>
      <w:tr>
        <w:trPr>
          <w:cantSplit/>
          <w:tblHeader w:val="false"/>
        </w:trPr>
        <w:tc>
          <w:tcPr>
            <w:tcW w:type="dxa" w:w="1210"/>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Mass</w:t>
            </w:r>
          </w:p>
        </w:tc>
        <w:tc>
          <w:tcPr>
            <w:tcW w:type="dxa" w:w="3441"/>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Nonemployer businesses (2023)</w:t>
            </w:r>
          </w:p>
        </w:tc>
        <w:tc>
          <w:tcPr>
            <w:tcW w:type="dxa" w:w="3485"/>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30.4M · 78.4% of all establishments</w:t>
            </w:r>
          </w:p>
        </w:tc>
        <w:tc>
          <w:tcPr>
            <w:tcW w:type="dxa" w:w="1944"/>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Census NES</w:t>
            </w:r>
          </w:p>
        </w:tc>
      </w:tr>
      <w:tr>
        <w:trPr>
          <w:cantSplit/>
          <w:tblHeader w:val="false"/>
        </w:trPr>
        <w:tc>
          <w:tcPr>
            <w:tcW w:type="dxa" w:w="121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Mass</w:t>
            </w:r>
          </w:p>
        </w:tc>
        <w:tc>
          <w:tcPr>
            <w:tcW w:type="dxa" w:w="3441"/>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Combined revenue</w:t>
            </w:r>
          </w:p>
        </w:tc>
        <w:tc>
          <w:tcPr>
            <w:tcW w:type="dxa" w:w="3485"/>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$1.8T · 6.4% of GDP</w:t>
            </w:r>
          </w:p>
        </w:tc>
        <w:tc>
          <w:tcPr>
            <w:tcW w:type="dxa" w:w="1944"/>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Census NES</w:t>
            </w:r>
          </w:p>
        </w:tc>
      </w:tr>
      <w:tr>
        <w:trPr>
          <w:cantSplit/>
          <w:tblHeader w:val="false"/>
        </w:trPr>
        <w:tc>
          <w:tcPr>
            <w:tcW w:type="dxa" w:w="1210"/>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Formation</w:t>
            </w:r>
          </w:p>
        </w:tc>
        <w:tc>
          <w:tcPr>
            <w:tcW w:type="dxa" w:w="3441"/>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New business applications, 2025</w:t>
            </w:r>
          </w:p>
        </w:tc>
        <w:tc>
          <w:tcPr>
            <w:tcW w:type="dxa" w:w="3485"/>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5.7M — record; ~470K a month never reach employer scale</w:t>
            </w:r>
          </w:p>
        </w:tc>
        <w:tc>
          <w:tcPr>
            <w:tcW w:type="dxa" w:w="1944"/>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Census BFS</w:t>
            </w:r>
          </w:p>
        </w:tc>
      </w:tr>
      <w:tr>
        <w:trPr>
          <w:cantSplit/>
          <w:tblHeader w:val="false"/>
        </w:trPr>
        <w:tc>
          <w:tcPr>
            <w:tcW w:type="dxa" w:w="121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Sellers</w:t>
            </w:r>
          </w:p>
        </w:tc>
        <w:tc>
          <w:tcPr>
            <w:tcW w:type="dxa" w:w="3441"/>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Amazon US sellers earning $1M+ a year</w:t>
            </w:r>
          </w:p>
        </w:tc>
        <w:tc>
          <w:tcPr>
            <w:tcW w:type="dxa" w:w="3485"/>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100,000+</w:t>
            </w:r>
          </w:p>
        </w:tc>
        <w:tc>
          <w:tcPr>
            <w:tcW w:type="dxa" w:w="1944"/>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SmartScout / Marketplace Pulse</w:t>
            </w:r>
          </w:p>
        </w:tc>
      </w:tr>
      <w:tr>
        <w:trPr>
          <w:cantSplit/>
          <w:tblHeader w:val="false"/>
        </w:trPr>
        <w:tc>
          <w:tcPr>
            <w:tcW w:type="dxa" w:w="1210"/>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Sellers</w:t>
            </w:r>
          </w:p>
        </w:tc>
        <w:tc>
          <w:tcPr>
            <w:tcW w:type="dxa" w:w="3441"/>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New Amazon sellers, 2025</w:t>
            </w:r>
          </w:p>
        </w:tc>
        <w:tc>
          <w:tcPr>
            <w:tcW w:type="dxa" w:w="3485"/>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165K, −44% — decade low</w:t>
            </w:r>
          </w:p>
        </w:tc>
        <w:tc>
          <w:tcPr>
            <w:tcW w:type="dxa" w:w="1944"/>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Marketplace Pulse</w:t>
            </w:r>
          </w:p>
        </w:tc>
      </w:tr>
      <w:tr>
        <w:trPr>
          <w:cantSplit/>
          <w:tblHeader w:val="false"/>
        </w:trPr>
        <w:tc>
          <w:tcPr>
            <w:tcW w:type="dxa" w:w="121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Toll</w:t>
            </w:r>
          </w:p>
        </w:tc>
        <w:tc>
          <w:tcPr>
            <w:tcW w:type="dxa" w:w="3441"/>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Share of a seller's revenue absorbed by marketplace fees</w:t>
            </w:r>
          </w:p>
        </w:tc>
        <w:tc>
          <w:tcPr>
            <w:tcW w:type="dxa" w:w="3485"/>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~50%</w:t>
            </w:r>
          </w:p>
        </w:tc>
        <w:tc>
          <w:tcPr>
            <w:tcW w:type="dxa" w:w="1944"/>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Marketplace Pulse</w:t>
            </w:r>
          </w:p>
        </w:tc>
      </w:tr>
      <w:tr>
        <w:trPr>
          <w:cantSplit/>
          <w:tblHeader w:val="false"/>
        </w:trPr>
        <w:tc>
          <w:tcPr>
            <w:tcW w:type="dxa" w:w="1210"/>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Brands</w:t>
            </w:r>
          </w:p>
        </w:tc>
        <w:tc>
          <w:tcPr>
            <w:tcW w:type="dxa" w:w="3441"/>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"Homeless brand" evidence</w:t>
            </w:r>
          </w:p>
        </w:tc>
        <w:tc>
          <w:tcPr>
            <w:tcW w:type="dxa" w:w="3485"/>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Anker 90% Amazon-dependent; Zenni 50M frames, no stores; Bambu Lab ~$1.5B revenue, no US storefront</w:t>
            </w:r>
          </w:p>
        </w:tc>
        <w:tc>
          <w:tcPr>
            <w:tcW w:type="dxa" w:w="1944"/>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Anchor Ally Research v2</w:t>
            </w:r>
          </w:p>
        </w:tc>
      </w:tr>
    </w:tbl>
    <w:p>
      <w:pPr>
        <w:spacing w:after="120"/>
      </w:pPr>
    </w:p>
    <w:p>
      <w:pPr>
        <w:spacing w:after="140" w:line="300"/>
      </w:pPr>
      <w:r>
        <w:rPr>
          <w:i w:val="false"/>
          <w:iCs w:val="false"/>
        </w:rPr>
        <w:t xml:space="preserve">Every existing instrument — SSBCI ($10B), SBA microloans, cottage-food reform, mentoring networks — targets the entrepreneur's pocket or head. None targets the ground under their feet. The gap is spatial.</w:t>
      </w:r>
    </w:p>
    <w:p>
      <w:pPr>
        <w:pStyle w:val="Heading2"/>
      </w:pPr>
      <w:r>
        <w:rPr>
          <w:i w:val="false"/>
          <w:iCs w:val="false"/>
        </w:rPr>
        <w:t xml:space="preserve">2.2 Supply: distress is concentrated where we hunt</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3262"/>
        <w:gridCol w:w="5502"/>
        <w:gridCol w:w="1316"/>
      </w:tblGrid>
      <w:tr>
        <w:trPr>
          <w:cantSplit/>
          <w:tblHeader/>
        </w:trPr>
        <w:tc>
          <w:tcPr>
            <w:tcW w:type="dxa" w:w="3262"/>
            <w:tcBorders>
              <w:top w:val="single" w:color="D5DBD6" w:sz="4"/>
              <w:left w:val="none" w:color="FFFFFF" w:sz="0"/>
              <w:bottom w:val="single" w:color="D5DBD6" w:sz="4"/>
              <w:right w:val="none" w:color="FFFFFF" w:sz="0"/>
            </w:tcBorders>
            <w:shd w:fill="1B2530" w:color="auto" w:val="clear"/>
            <w:tcMar>
              <w:top w:type="dxa" w:w="70"/>
              <w:left w:type="dxa" w:w="100"/>
              <w:bottom w:type="dxa" w:w="70"/>
              <w:right w:type="dxa" w:w="100"/>
            </w:tcMar>
            <w:vAlign w:val="top"/>
          </w:tcPr>
          <w:p>
            <w:pPr>
              <w:spacing w:after="0" w:line="260"/>
              <w:jc w:val="left"/>
            </w:pPr>
            <w:r>
              <w:rPr>
                <w:rFonts w:ascii="Calibri" w:cs="Calibri" w:eastAsia="Calibri" w:hAnsi="Calibri"/>
                <w:b/>
                <w:bCs/>
                <w:i w:val="false"/>
                <w:iCs w:val="false"/>
                <w:color w:val="FFFFFF"/>
                <w:sz w:val="18"/>
                <w:szCs w:val="18"/>
              </w:rPr>
              <w:t xml:space="preserve">Signal</w:t>
            </w:r>
          </w:p>
        </w:tc>
        <w:tc>
          <w:tcPr>
            <w:tcW w:type="dxa" w:w="5502"/>
            <w:tcBorders>
              <w:top w:val="single" w:color="D5DBD6" w:sz="4"/>
              <w:left w:val="none" w:color="FFFFFF" w:sz="0"/>
              <w:bottom w:val="single" w:color="D5DBD6" w:sz="4"/>
              <w:right w:val="none" w:color="FFFFFF" w:sz="0"/>
            </w:tcBorders>
            <w:shd w:fill="1B2530" w:color="auto" w:val="clear"/>
            <w:tcMar>
              <w:top w:type="dxa" w:w="70"/>
              <w:left w:type="dxa" w:w="100"/>
              <w:bottom w:type="dxa" w:w="70"/>
              <w:right w:type="dxa" w:w="100"/>
            </w:tcMar>
            <w:vAlign w:val="top"/>
          </w:tcPr>
          <w:p>
            <w:pPr>
              <w:spacing w:after="0" w:line="260"/>
              <w:jc w:val="left"/>
            </w:pPr>
            <w:r>
              <w:rPr>
                <w:rFonts w:ascii="Calibri" w:cs="Calibri" w:eastAsia="Calibri" w:hAnsi="Calibri"/>
                <w:b/>
                <w:bCs/>
                <w:i w:val="false"/>
                <w:iCs w:val="false"/>
                <w:color w:val="FFFFFF"/>
                <w:sz w:val="18"/>
                <w:szCs w:val="18"/>
              </w:rPr>
              <w:t xml:space="preserve">Value</w:t>
            </w:r>
          </w:p>
        </w:tc>
        <w:tc>
          <w:tcPr>
            <w:tcW w:type="dxa" w:w="1316"/>
            <w:tcBorders>
              <w:top w:val="single" w:color="D5DBD6" w:sz="4"/>
              <w:left w:val="none" w:color="FFFFFF" w:sz="0"/>
              <w:bottom w:val="single" w:color="D5DBD6" w:sz="4"/>
              <w:right w:val="none" w:color="FFFFFF" w:sz="0"/>
            </w:tcBorders>
            <w:shd w:fill="1B2530" w:color="auto" w:val="clear"/>
            <w:tcMar>
              <w:top w:type="dxa" w:w="70"/>
              <w:left w:type="dxa" w:w="100"/>
              <w:bottom w:type="dxa" w:w="70"/>
              <w:right w:type="dxa" w:w="100"/>
            </w:tcMar>
            <w:vAlign w:val="top"/>
          </w:tcPr>
          <w:p>
            <w:pPr>
              <w:spacing w:after="0" w:line="260"/>
              <w:jc w:val="left"/>
            </w:pPr>
            <w:r>
              <w:rPr>
                <w:rFonts w:ascii="Calibri" w:cs="Calibri" w:eastAsia="Calibri" w:hAnsi="Calibri"/>
                <w:b/>
                <w:bCs/>
                <w:i w:val="false"/>
                <w:iCs w:val="false"/>
                <w:color w:val="FFFFFF"/>
                <w:sz w:val="18"/>
                <w:szCs w:val="18"/>
              </w:rPr>
              <w:t xml:space="preserve">Source</w:t>
            </w:r>
          </w:p>
        </w:tc>
      </w:tr>
      <w:tr>
        <w:trPr>
          <w:cantSplit/>
          <w:tblHeader w:val="false"/>
        </w:trPr>
        <w:tc>
          <w:tcPr>
            <w:tcW w:type="dxa" w:w="3262"/>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CMBS loans facing hard maturity, 2026</w:t>
            </w:r>
          </w:p>
        </w:tc>
        <w:tc>
          <w:tcPr>
            <w:tcW w:type="dxa" w:w="5502"/>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$76.6B; office and retail carry the largest exposure</w:t>
            </w:r>
          </w:p>
        </w:tc>
        <w:tc>
          <w:tcPr>
            <w:tcW w:type="dxa" w:w="1316"/>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Trepp</w:t>
            </w:r>
          </w:p>
        </w:tc>
      </w:tr>
      <w:tr>
        <w:trPr>
          <w:cantSplit/>
          <w:tblHeader w:val="false"/>
        </w:trPr>
        <w:tc>
          <w:tcPr>
            <w:tcW w:type="dxa" w:w="3262"/>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Retail CMBS delinquency, July 2026</w:t>
            </w:r>
          </w:p>
        </w:tc>
        <w:tc>
          <w:tcPr>
            <w:tcW w:type="dxa" w:w="5502"/>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6.96%, driven by regional malls</w:t>
            </w:r>
          </w:p>
        </w:tc>
        <w:tc>
          <w:tcPr>
            <w:tcW w:type="dxa" w:w="1316"/>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Trepp</w:t>
            </w:r>
          </w:p>
        </w:tc>
      </w:tr>
      <w:tr>
        <w:trPr>
          <w:cantSplit/>
          <w:tblHeader w:val="false"/>
        </w:trPr>
        <w:tc>
          <w:tcPr>
            <w:tcW w:type="dxa" w:w="3262"/>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Loss severity, Pecanland Mall (May 2026)</w:t>
            </w:r>
          </w:p>
        </w:tc>
        <w:tc>
          <w:tcPr>
            <w:tcW w:type="dxa" w:w="5502"/>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80.9% on a $67.3M loan</w:t>
            </w:r>
          </w:p>
        </w:tc>
        <w:tc>
          <w:tcPr>
            <w:tcW w:type="dxa" w:w="1316"/>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Trepp / CRE Daily</w:t>
            </w:r>
          </w:p>
        </w:tc>
      </w:tr>
      <w:tr>
        <w:trPr>
          <w:cantSplit/>
          <w:tblHeader w:val="false"/>
        </w:trPr>
        <w:tc>
          <w:tcPr>
            <w:tcW w:type="dxa" w:w="3262"/>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Class B malls</w:t>
            </w:r>
          </w:p>
        </w:tc>
        <w:tc>
          <w:tcPr>
            <w:tcW w:type="dxa" w:w="5502"/>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~250 (28% of all), 89% occupied, traffic −9% vs 2019 — primary target</w:t>
            </w:r>
          </w:p>
        </w:tc>
        <w:tc>
          <w:tcPr>
            <w:tcW w:type="dxa" w:w="1316"/>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Cushman &amp; Wakefield</w:t>
            </w:r>
          </w:p>
        </w:tc>
      </w:tr>
      <w:tr>
        <w:trPr>
          <w:cantSplit/>
          <w:tblHeader w:val="false"/>
        </w:trPr>
        <w:tc>
          <w:tcPr>
            <w:tcW w:type="dxa" w:w="3262"/>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Store closures</w:t>
            </w:r>
          </w:p>
        </w:tc>
        <w:tc>
          <w:tcPr>
            <w:tcW w:type="dxa" w:w="5502"/>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8,270 in 2025; 30M+ sqft closing in 2026</w:t>
            </w:r>
          </w:p>
        </w:tc>
        <w:tc>
          <w:tcPr>
            <w:tcW w:type="dxa" w:w="1316"/>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Coresight</w:t>
            </w:r>
          </w:p>
        </w:tc>
      </w:tr>
      <w:tr>
        <w:trPr>
          <w:cantSplit/>
          <w:tblHeader w:val="false"/>
        </w:trPr>
        <w:tc>
          <w:tcPr>
            <w:tcW w:type="dxa" w:w="3262"/>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Overall retail vacancy</w:t>
            </w:r>
          </w:p>
        </w:tc>
        <w:tc>
          <w:tcPr>
            <w:tcW w:type="dxa" w:w="5502"/>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4–5%, record low; median 7.5 months to lease; 5–10-year terms</w:t>
            </w:r>
          </w:p>
        </w:tc>
        <w:tc>
          <w:tcPr>
            <w:tcW w:type="dxa" w:w="1316"/>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CoStar</w:t>
            </w:r>
          </w:p>
        </w:tc>
      </w:tr>
    </w:tbl>
    <w:p>
      <w:pPr>
        <w:spacing w:after="120"/>
      </w:pPr>
    </w:p>
    <w:p>
      <w:pPr>
        <w:spacing w:after="140" w:line="300"/>
      </w:pPr>
      <w:r>
        <w:rPr>
          <w:i w:val="false"/>
          <w:iCs w:val="false"/>
        </w:rPr>
        <w:t xml:space="preserve">The honest tension strengthens the thesis: the box is dead but the market for space is tight. Nobody can lease a 100,000 sqft shell to a credit tenant; three hundred makers, brands and creators can fill it by the day.</w:t>
      </w:r>
    </w:p>
    <w:p>
      <w:pPr>
        <w:pStyle w:val="Heading2"/>
      </w:pPr>
      <w:r>
        <w:rPr>
          <w:i w:val="false"/>
          <w:iCs w:val="false"/>
        </w:rPr>
        <w:t xml:space="preserve">2.3 The price anchor already exists</w:t>
      </w:r>
    </w:p>
    <w:p>
      <w:pPr>
        <w:spacing w:after="140" w:line="300"/>
      </w:pPr>
      <w:r>
        <w:rPr>
          <w:i w:val="false"/>
          <w:iCs w:val="false"/>
        </w:rPr>
        <w:t xml:space="preserve">Costco's sampling floor (Club Demonstration Services, 550+ warehouses) charges brands $35 a day for a vendor-run demo table, $150–250 for an official demo, and $714–2,143 a day-equivalent for a Roadshow. Advantage Solutions' experiential revenue grew 19% year on year to $416M in Q2 2026. A daily-counter market exists; it is simply closed to anyone under roughly $1M in sales. Atmosphere's daily table ($60–200 entrepreneur; $150–250 CPG test brand) opens it.</w:t>
      </w:r>
    </w:p>
    <w:p>
      <w:r>
        <w:br w:type="page"/>
      </w:r>
    </w:p>
    <w:p>
      <w:pPr>
        <w:pStyle w:val="Heading1"/>
      </w:pPr>
      <w:r>
        <w:rPr>
          <w:color w:val="0F5F5C"/>
        </w:rPr>
        <w:t xml:space="preserve">3 </w:t>
      </w:r>
      <w:r>
        <w:t xml:space="preserve">The product — one floor, seven ways to earn</w:t>
      </w:r>
    </w:p>
    <w:p>
      <w:pPr>
        <w:pStyle w:val="Heading2"/>
      </w:pPr>
      <w:r>
        <w:rPr>
          <w:i w:val="false"/>
          <w:iCs w:val="false"/>
        </w:rPr>
        <w:t xml:space="preserve">3.1 The floor</w:t>
      </w:r>
    </w:p>
    <w:p>
      <w:pPr>
        <w:spacing w:after="140" w:line="300"/>
      </w:pPr>
      <w:r>
        <w:rPr>
          <w:i w:val="false"/>
          <w:iCs w:val="false"/>
        </w:rPr>
        <w:t xml:space="preserve">A 100,000 sqft box (GLA) yields about 92,000 sqft of programmable area after the 40% public-area obligation, a mezzanine and a share of the parking obligation. One floor carries 1,001 entrepreneur positions (300 tables, 30 vitrines, 100 outdoor stalls, 12 studios, 36 micro-rooms, 51 desks, 25 benches, 13 stage slots, 14 pack stations, 420 visible-stock cages), 1,001 digital-twin lockers, and 8 anchor brands plus 6 street-food operators, behind five doors: Open Market, Market Hall, Enterprise Arcade, The Stage and the Live Commerce Center.</w:t>
      </w:r>
    </w:p>
    <w:p>
      <w:pPr>
        <w:pStyle w:val="Heading2"/>
      </w:pPr>
      <w:r>
        <w:rPr>
          <w:i w:val="false"/>
          <w:iCs w:val="false"/>
        </w:rPr>
        <w:t xml:space="preserve">3.2 The seven lines</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704"/>
        <w:gridCol w:w="1658"/>
        <w:gridCol w:w="6418"/>
        <w:gridCol w:w="1300"/>
      </w:tblGrid>
      <w:tr>
        <w:trPr>
          <w:cantSplit/>
          <w:tblHeader/>
        </w:trPr>
        <w:tc>
          <w:tcPr>
            <w:tcW w:type="dxa" w:w="704"/>
            <w:tcBorders>
              <w:top w:val="single" w:color="D5DBD6" w:sz="4"/>
              <w:left w:val="none" w:color="FFFFFF" w:sz="0"/>
              <w:bottom w:val="single" w:color="D5DBD6" w:sz="4"/>
              <w:right w:val="none" w:color="FFFFFF" w:sz="0"/>
            </w:tcBorders>
            <w:shd w:fill="1B2530" w:color="auto" w:val="clear"/>
            <w:tcMar>
              <w:top w:type="dxa" w:w="70"/>
              <w:left w:type="dxa" w:w="100"/>
              <w:bottom w:type="dxa" w:w="70"/>
              <w:right w:type="dxa" w:w="100"/>
            </w:tcMar>
            <w:vAlign w:val="top"/>
          </w:tcPr>
          <w:p>
            <w:pPr>
              <w:spacing w:after="0" w:line="260"/>
              <w:jc w:val="left"/>
            </w:pPr>
            <w:r>
              <w:rPr>
                <w:rFonts w:ascii="Calibri" w:cs="Calibri" w:eastAsia="Calibri" w:hAnsi="Calibri"/>
                <w:b/>
                <w:bCs/>
                <w:i w:val="false"/>
                <w:iCs w:val="false"/>
                <w:color w:val="FFFFFF"/>
                <w:sz w:val="18"/>
                <w:szCs w:val="18"/>
              </w:rPr>
              <w:t xml:space="preserve">#</w:t>
            </w:r>
          </w:p>
        </w:tc>
        <w:tc>
          <w:tcPr>
            <w:tcW w:type="dxa" w:w="1658"/>
            <w:tcBorders>
              <w:top w:val="single" w:color="D5DBD6" w:sz="4"/>
              <w:left w:val="none" w:color="FFFFFF" w:sz="0"/>
              <w:bottom w:val="single" w:color="D5DBD6" w:sz="4"/>
              <w:right w:val="none" w:color="FFFFFF" w:sz="0"/>
            </w:tcBorders>
            <w:shd w:fill="1B2530" w:color="auto" w:val="clear"/>
            <w:tcMar>
              <w:top w:type="dxa" w:w="70"/>
              <w:left w:type="dxa" w:w="100"/>
              <w:bottom w:type="dxa" w:w="70"/>
              <w:right w:type="dxa" w:w="100"/>
            </w:tcMar>
            <w:vAlign w:val="top"/>
          </w:tcPr>
          <w:p>
            <w:pPr>
              <w:spacing w:after="0" w:line="260"/>
              <w:jc w:val="left"/>
            </w:pPr>
            <w:r>
              <w:rPr>
                <w:rFonts w:ascii="Calibri" w:cs="Calibri" w:eastAsia="Calibri" w:hAnsi="Calibri"/>
                <w:b/>
                <w:bCs/>
                <w:i w:val="false"/>
                <w:iCs w:val="false"/>
                <w:color w:val="FFFFFF"/>
                <w:sz w:val="18"/>
                <w:szCs w:val="18"/>
              </w:rPr>
              <w:t xml:space="preserve">Line</w:t>
            </w:r>
          </w:p>
        </w:tc>
        <w:tc>
          <w:tcPr>
            <w:tcW w:type="dxa" w:w="6418"/>
            <w:tcBorders>
              <w:top w:val="single" w:color="D5DBD6" w:sz="4"/>
              <w:left w:val="none" w:color="FFFFFF" w:sz="0"/>
              <w:bottom w:val="single" w:color="D5DBD6" w:sz="4"/>
              <w:right w:val="none" w:color="FFFFFF" w:sz="0"/>
            </w:tcBorders>
            <w:shd w:fill="1B2530" w:color="auto" w:val="clear"/>
            <w:tcMar>
              <w:top w:type="dxa" w:w="70"/>
              <w:left w:type="dxa" w:w="100"/>
              <w:bottom w:type="dxa" w:w="70"/>
              <w:right w:type="dxa" w:w="100"/>
            </w:tcMar>
            <w:vAlign w:val="top"/>
          </w:tcPr>
          <w:p>
            <w:pPr>
              <w:spacing w:after="0" w:line="260"/>
              <w:jc w:val="left"/>
            </w:pPr>
            <w:r>
              <w:rPr>
                <w:rFonts w:ascii="Calibri" w:cs="Calibri" w:eastAsia="Calibri" w:hAnsi="Calibri"/>
                <w:b/>
                <w:bCs/>
                <w:i w:val="false"/>
                <w:iCs w:val="false"/>
                <w:color w:val="FFFFFF"/>
                <w:sz w:val="18"/>
                <w:szCs w:val="18"/>
              </w:rPr>
              <w:t xml:space="preserve">What it is</w:t>
            </w:r>
          </w:p>
        </w:tc>
        <w:tc>
          <w:tcPr>
            <w:tcW w:type="dxa" w:w="1300"/>
            <w:tcBorders>
              <w:top w:val="single" w:color="D5DBD6" w:sz="4"/>
              <w:left w:val="none" w:color="FFFFFF" w:sz="0"/>
              <w:bottom w:val="single" w:color="D5DBD6" w:sz="4"/>
              <w:right w:val="none" w:color="FFFFFF" w:sz="0"/>
            </w:tcBorders>
            <w:shd w:fill="1B2530" w:color="auto" w:val="clear"/>
            <w:tcMar>
              <w:top w:type="dxa" w:w="70"/>
              <w:left w:type="dxa" w:w="100"/>
              <w:bottom w:type="dxa" w:w="70"/>
              <w:right w:type="dxa" w:w="100"/>
            </w:tcMar>
            <w:vAlign w:val="top"/>
          </w:tcPr>
          <w:p>
            <w:pPr>
              <w:spacing w:after="0" w:line="260"/>
              <w:jc w:val="left"/>
            </w:pPr>
            <w:r>
              <w:rPr>
                <w:rFonts w:ascii="Calibri" w:cs="Calibri" w:eastAsia="Calibri" w:hAnsi="Calibri"/>
                <w:b/>
                <w:bCs/>
                <w:i w:val="false"/>
                <w:iCs w:val="false"/>
                <w:color w:val="FFFFFF"/>
                <w:sz w:val="18"/>
                <w:szCs w:val="18"/>
              </w:rPr>
              <w:t xml:space="preserve">Role</w:t>
            </w:r>
          </w:p>
        </w:tc>
      </w:tr>
      <w:tr>
        <w:trPr>
          <w:cantSplit/>
          <w:tblHeader w:val="false"/>
        </w:trPr>
        <w:tc>
          <w:tcPr>
            <w:tcW w:type="dxa" w:w="704"/>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01</w:t>
            </w:r>
          </w:p>
        </w:tc>
        <w:tc>
          <w:tcPr>
            <w:tcW w:type="dxa" w:w="1658"/>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Open Market &amp; Market Hall</w:t>
            </w:r>
          </w:p>
        </w:tc>
        <w:tc>
          <w:tcPr>
            <w:tcW w:type="dxa" w:w="6418"/>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Table for a day to storefront for a season; curated tenancies for brands going physical</w:t>
            </w:r>
          </w:p>
        </w:tc>
        <w:tc>
          <w:tcPr>
            <w:tcW w:type="dxa" w:w="130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Yield · base</w:t>
            </w:r>
          </w:p>
        </w:tc>
      </w:tr>
      <w:tr>
        <w:trPr>
          <w:cantSplit/>
          <w:tblHeader w:val="false"/>
        </w:trPr>
        <w:tc>
          <w:tcPr>
            <w:tcW w:type="dxa" w:w="704"/>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02</w:t>
            </w:r>
          </w:p>
        </w:tc>
        <w:tc>
          <w:tcPr>
            <w:tcW w:type="dxa" w:w="1658"/>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Enterprise Arcade</w:t>
            </w:r>
          </w:p>
        </w:tc>
        <w:tc>
          <w:tcPr>
            <w:tcW w:type="dxa" w:w="6418"/>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Serviced workspace on the mezzanine; sells noise, not silence</w:t>
            </w:r>
          </w:p>
        </w:tc>
        <w:tc>
          <w:tcPr>
            <w:tcW w:type="dxa" w:w="1300"/>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Recurring</w:t>
            </w:r>
          </w:p>
        </w:tc>
      </w:tr>
      <w:tr>
        <w:trPr>
          <w:cantSplit/>
          <w:tblHeader w:val="false"/>
        </w:trPr>
        <w:tc>
          <w:tcPr>
            <w:tcW w:type="dxa" w:w="704"/>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03</w:t>
            </w:r>
          </w:p>
        </w:tc>
        <w:tc>
          <w:tcPr>
            <w:tcW w:type="dxa" w:w="1658"/>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The Stage</w:t>
            </w:r>
          </w:p>
        </w:tc>
        <w:tc>
          <w:tcPr>
            <w:tcW w:type="dxa" w:w="6418"/>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Live commerce, events, broadcast — the attention engine</w:t>
            </w:r>
          </w:p>
        </w:tc>
        <w:tc>
          <w:tcPr>
            <w:tcW w:type="dxa" w:w="130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Event</w:t>
            </w:r>
          </w:p>
        </w:tc>
      </w:tr>
      <w:tr>
        <w:trPr>
          <w:cantSplit/>
          <w:tblHeader w:val="false"/>
        </w:trPr>
        <w:tc>
          <w:tcPr>
            <w:tcW w:type="dxa" w:w="704"/>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04</w:t>
            </w:r>
          </w:p>
        </w:tc>
        <w:tc>
          <w:tcPr>
            <w:tcW w:type="dxa" w:w="1658"/>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Live Commerce Center</w:t>
            </w:r>
          </w:p>
        </w:tc>
        <w:tc>
          <w:tcPr>
            <w:tcW w:type="dxa" w:w="6418"/>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Fulfilment, box-free returns, instant second sale</w:t>
            </w:r>
          </w:p>
        </w:tc>
        <w:tc>
          <w:tcPr>
            <w:tcW w:type="dxa" w:w="1300"/>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Throughput</w:t>
            </w:r>
          </w:p>
        </w:tc>
      </w:tr>
      <w:tr>
        <w:trPr>
          <w:cantSplit/>
          <w:tblHeader w:val="false"/>
        </w:trPr>
        <w:tc>
          <w:tcPr>
            <w:tcW w:type="dxa" w:w="704"/>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05</w:t>
            </w:r>
          </w:p>
        </w:tc>
        <w:tc>
          <w:tcPr>
            <w:tcW w:type="dxa" w:w="1658"/>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Back of House</w:t>
            </w:r>
          </w:p>
        </w:tc>
        <w:tc>
          <w:tcPr>
            <w:tcW w:type="dxa" w:w="6418"/>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Inventory stored where a buyer can see it — CAM as revenue</w:t>
            </w:r>
          </w:p>
        </w:tc>
        <w:tc>
          <w:tcPr>
            <w:tcW w:type="dxa" w:w="130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Storage</w:t>
            </w:r>
          </w:p>
        </w:tc>
      </w:tr>
      <w:tr>
        <w:trPr>
          <w:cantSplit/>
          <w:tblHeader w:val="false"/>
        </w:trPr>
        <w:tc>
          <w:tcPr>
            <w:tcW w:type="dxa" w:w="704"/>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06</w:t>
            </w:r>
          </w:p>
        </w:tc>
        <w:tc>
          <w:tcPr>
            <w:tcW w:type="dxa" w:w="1658"/>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Media · PingPod</w:t>
            </w:r>
          </w:p>
        </w:tc>
        <w:tc>
          <w:tcPr>
            <w:tcW w:type="dxa" w:w="6418"/>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The screen grid as a measured media network, listed on programmatic rails</w:t>
            </w:r>
          </w:p>
        </w:tc>
        <w:tc>
          <w:tcPr>
            <w:tcW w:type="dxa" w:w="1300"/>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Margin</w:t>
            </w:r>
          </w:p>
        </w:tc>
      </w:tr>
      <w:tr>
        <w:trPr>
          <w:cantSplit/>
          <w:tblHeader w:val="false"/>
        </w:trPr>
        <w:tc>
          <w:tcPr>
            <w:tcW w:type="dxa" w:w="704"/>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07</w:t>
            </w:r>
          </w:p>
        </w:tc>
        <w:tc>
          <w:tcPr>
            <w:tcW w:type="dxa" w:w="1658"/>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Membership</w:t>
            </w:r>
          </w:p>
        </w:tc>
        <w:tc>
          <w:tcPr>
            <w:tcW w:type="dxa" w:w="6418"/>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Recognition, not access; the recurring community layer held in MemberCo</w:t>
            </w:r>
          </w:p>
        </w:tc>
        <w:tc>
          <w:tcPr>
            <w:tcW w:type="dxa" w:w="130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The asset</w:t>
            </w:r>
          </w:p>
        </w:tc>
      </w:tr>
    </w:tbl>
    <w:p>
      <w:pPr>
        <w:spacing w:after="120"/>
      </w:pPr>
    </w:p>
    <w:p>
      <w:pPr>
        <w:pStyle w:val="Heading2"/>
      </w:pPr>
      <w:r>
        <w:rPr>
          <w:i w:val="false"/>
          <w:iCs w:val="false"/>
        </w:rPr>
        <w:t xml:space="preserve">3.3 The four systems, at PoC scope</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300"/>
        <w:gridCol w:w="4210"/>
        <w:gridCol w:w="4570"/>
      </w:tblGrid>
      <w:tr>
        <w:trPr>
          <w:cantSplit/>
          <w:tblHeader/>
        </w:trPr>
        <w:tc>
          <w:tcPr>
            <w:tcW w:type="dxa" w:w="1300"/>
            <w:tcBorders>
              <w:top w:val="single" w:color="D5DBD6" w:sz="4"/>
              <w:left w:val="none" w:color="FFFFFF" w:sz="0"/>
              <w:bottom w:val="single" w:color="D5DBD6" w:sz="4"/>
              <w:right w:val="none" w:color="FFFFFF" w:sz="0"/>
            </w:tcBorders>
            <w:shd w:fill="1B2530" w:color="auto" w:val="clear"/>
            <w:tcMar>
              <w:top w:type="dxa" w:w="70"/>
              <w:left w:type="dxa" w:w="100"/>
              <w:bottom w:type="dxa" w:w="70"/>
              <w:right w:type="dxa" w:w="100"/>
            </w:tcMar>
            <w:vAlign w:val="top"/>
          </w:tcPr>
          <w:p>
            <w:pPr>
              <w:spacing w:after="0" w:line="260"/>
              <w:jc w:val="left"/>
            </w:pPr>
            <w:r>
              <w:rPr>
                <w:rFonts w:ascii="Calibri" w:cs="Calibri" w:eastAsia="Calibri" w:hAnsi="Calibri"/>
                <w:b/>
                <w:bCs/>
                <w:i w:val="false"/>
                <w:iCs w:val="false"/>
                <w:color w:val="FFFFFF"/>
                <w:sz w:val="18"/>
                <w:szCs w:val="18"/>
              </w:rPr>
              <w:t xml:space="preserve">System</w:t>
            </w:r>
          </w:p>
        </w:tc>
        <w:tc>
          <w:tcPr>
            <w:tcW w:type="dxa" w:w="4210"/>
            <w:tcBorders>
              <w:top w:val="single" w:color="D5DBD6" w:sz="4"/>
              <w:left w:val="none" w:color="FFFFFF" w:sz="0"/>
              <w:bottom w:val="single" w:color="D5DBD6" w:sz="4"/>
              <w:right w:val="none" w:color="FFFFFF" w:sz="0"/>
            </w:tcBorders>
            <w:shd w:fill="1B2530" w:color="auto" w:val="clear"/>
            <w:tcMar>
              <w:top w:type="dxa" w:w="70"/>
              <w:left w:type="dxa" w:w="100"/>
              <w:bottom w:type="dxa" w:w="70"/>
              <w:right w:type="dxa" w:w="100"/>
            </w:tcMar>
            <w:vAlign w:val="top"/>
          </w:tcPr>
          <w:p>
            <w:pPr>
              <w:spacing w:after="0" w:line="260"/>
              <w:jc w:val="left"/>
            </w:pPr>
            <w:r>
              <w:rPr>
                <w:rFonts w:ascii="Calibri" w:cs="Calibri" w:eastAsia="Calibri" w:hAnsi="Calibri"/>
                <w:b/>
                <w:bCs/>
                <w:i w:val="false"/>
                <w:iCs w:val="false"/>
                <w:color w:val="FFFFFF"/>
                <w:sz w:val="18"/>
                <w:szCs w:val="18"/>
              </w:rPr>
              <w:t xml:space="preserve">Job</w:t>
            </w:r>
          </w:p>
        </w:tc>
        <w:tc>
          <w:tcPr>
            <w:tcW w:type="dxa" w:w="4570"/>
            <w:tcBorders>
              <w:top w:val="single" w:color="D5DBD6" w:sz="4"/>
              <w:left w:val="none" w:color="FFFFFF" w:sz="0"/>
              <w:bottom w:val="single" w:color="D5DBD6" w:sz="4"/>
              <w:right w:val="none" w:color="FFFFFF" w:sz="0"/>
            </w:tcBorders>
            <w:shd w:fill="1B2530" w:color="auto" w:val="clear"/>
            <w:tcMar>
              <w:top w:type="dxa" w:w="70"/>
              <w:left w:type="dxa" w:w="100"/>
              <w:bottom w:type="dxa" w:w="70"/>
              <w:right w:type="dxa" w:w="100"/>
            </w:tcMar>
            <w:vAlign w:val="top"/>
          </w:tcPr>
          <w:p>
            <w:pPr>
              <w:spacing w:after="0" w:line="260"/>
              <w:jc w:val="left"/>
            </w:pPr>
            <w:r>
              <w:rPr>
                <w:rFonts w:ascii="Calibri" w:cs="Calibri" w:eastAsia="Calibri" w:hAnsi="Calibri"/>
                <w:b/>
                <w:bCs/>
                <w:i w:val="false"/>
                <w:iCs w:val="false"/>
                <w:color w:val="FFFFFF"/>
                <w:sz w:val="18"/>
                <w:szCs w:val="18"/>
              </w:rPr>
              <w:t xml:space="preserve">PoC scope</w:t>
            </w:r>
          </w:p>
        </w:tc>
      </w:tr>
      <w:tr>
        <w:trPr>
          <w:cantSplit/>
          <w:tblHeader w:val="false"/>
        </w:trPr>
        <w:tc>
          <w:tcPr>
            <w:tcW w:type="dxa" w:w="130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OffNdOn™</w:t>
            </w:r>
          </w:p>
        </w:tc>
        <w:tc>
          <w:tcPr>
            <w:tcW w:type="dxa" w:w="421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Books space and power — a maker's table from a phone, no salesperson</w:t>
            </w:r>
          </w:p>
        </w:tc>
        <w:tc>
          <w:tcPr>
            <w:tcW w:type="dxa" w:w="457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Live at opening (the sovereign rail)</w:t>
            </w:r>
          </w:p>
        </w:tc>
      </w:tr>
      <w:tr>
        <w:trPr>
          <w:cantSplit/>
          <w:tblHeader w:val="false"/>
        </w:trPr>
        <w:tc>
          <w:tcPr>
            <w:tcW w:type="dxa" w:w="1300"/>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HuxNet™</w:t>
            </w:r>
          </w:p>
        </w:tc>
        <w:tc>
          <w:tcPr>
            <w:tcW w:type="dxa" w:w="4210"/>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Opt-in, privacy-first matching</w:t>
            </w:r>
          </w:p>
        </w:tc>
        <w:tc>
          <w:tcPr>
            <w:tcW w:type="dxa" w:w="4570"/>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Simple opt-in matching; silent delivery; age gate closed by default</w:t>
            </w:r>
          </w:p>
        </w:tc>
      </w:tr>
      <w:tr>
        <w:trPr>
          <w:cantSplit/>
          <w:tblHeader w:val="false"/>
        </w:trPr>
        <w:tc>
          <w:tcPr>
            <w:tcW w:type="dxa" w:w="130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PingPod™</w:t>
            </w:r>
          </w:p>
        </w:tc>
        <w:tc>
          <w:tcPr>
            <w:tcW w:type="dxa" w:w="421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Schedules and sells screen-hours</w:t>
            </w:r>
          </w:p>
        </w:tc>
        <w:tc>
          <w:tcPr>
            <w:tcW w:type="dxa" w:w="457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Live at opening; SSP listing six weeks after opening</w:t>
            </w:r>
          </w:p>
        </w:tc>
      </w:tr>
      <w:tr>
        <w:trPr>
          <w:cantSplit/>
          <w:tblHeader w:val="false"/>
        </w:trPr>
        <w:tc>
          <w:tcPr>
            <w:tcW w:type="dxa" w:w="1300"/>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Fifth Signal™</w:t>
            </w:r>
          </w:p>
        </w:tc>
        <w:tc>
          <w:tcPr>
            <w:tcW w:type="dxa" w:w="4210"/>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Demand forecasting, dynamic pricing, measurement to transaction</w:t>
            </w:r>
          </w:p>
        </w:tc>
        <w:tc>
          <w:tcPr>
            <w:tcW w:type="dxa" w:w="4570"/>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Live at opening; certification over two quarters</w:t>
            </w:r>
          </w:p>
        </w:tc>
      </w:tr>
    </w:tbl>
    <w:p>
      <w:pPr>
        <w:spacing w:after="120"/>
      </w:pPr>
    </w:p>
    <w:p>
      <w:pPr>
        <w:spacing w:after="140" w:line="300"/>
      </w:pPr>
      <w:r>
        <w:rPr>
          <w:i w:val="false"/>
          <w:iCs w:val="false"/>
        </w:rPr>
        <w:t xml:space="preserve">Digital twins, "architectural teleportation" and the self-optimising building are scale-phase showcase, deliberately outside the PoC. Amazon Style died of over-engineering in search of a problem; the PoC runs at the scope of one maker's day.</w:t>
      </w:r>
    </w:p>
    <w:p>
      <w:pPr>
        <w:pStyle w:val="Heading2"/>
      </w:pPr>
      <w:r>
        <w:rPr>
          <w:i w:val="false"/>
          <w:iCs w:val="false"/>
        </w:rPr>
        <w:t xml:space="preserve">3.4 5th Wall Phygital Elements</w:t>
      </w:r>
    </w:p>
    <w:p>
      <w:pPr>
        <w:spacing w:after="140" w:line="300"/>
      </w:pPr>
      <w:r>
        <w:rPr>
          <w:i w:val="false"/>
          <w:iCs w:val="false"/>
        </w:rPr>
        <w:t xml:space="preserve">The manufactured layer: a plug-and-play modular system scaling from street furniture to store furniture, so a floor can be assembled, reconfigured and moved. Modelled at ~3.7× the revenue of a traditional fixture on ~2× the capex. PoC fixtures come from a fabrication ally; the ~$50M factory acquisition (Plan C+C) is justified only by a second venue's order.</w:t>
      </w:r>
    </w:p>
    <w:p>
      <w:r>
        <w:br w:type="page"/>
      </w:r>
    </w:p>
    <w:p>
      <w:pPr>
        <w:pStyle w:val="Heading1"/>
      </w:pPr>
      <w:r>
        <w:rPr>
          <w:color w:val="0F5F5C"/>
        </w:rPr>
        <w:t xml:space="preserve">4 </w:t>
      </w:r>
      <w:r>
        <w:t xml:space="preserve">Users, Visitors &amp; Beyond — the membership architecture</w:t>
      </w:r>
    </w:p>
    <w:p>
      <w:pPr>
        <w:spacing w:after="140" w:line="300"/>
      </w:pPr>
      <w:r>
        <w:rPr>
          <w:i w:val="false"/>
          <w:iCs w:val="false"/>
        </w:rPr>
        <w:t xml:space="preserve">Alliance Skeleton Position 08 (Rev.01, September 2026) replaces the earlier "Owner &amp; Visitor Members" in the register. "Owner" implied a stake the position does not confer; "Beyond" gives a home to the people connected to the building without standing in it — the corporation buying tacit knowledge, the creator selling from the Stage, the holder of a digital-twin locker who may never appear in person.</w:t>
      </w:r>
    </w:p>
    <w:p>
      <w:pPr>
        <w:pStyle w:val="Heading2"/>
      </w:pPr>
      <w:r>
        <w:rPr>
          <w:i w:val="false"/>
          <w:iCs w:val="false"/>
        </w:rPr>
        <w:t xml:space="preserve">4.1 The decision already taken: the door stays open</w:t>
      </w:r>
    </w:p>
    <w:p>
      <w:pPr>
        <w:spacing w:after="140" w:line="300"/>
      </w:pPr>
      <w:r>
        <w:rPr>
          <w:i w:val="false"/>
          <w:iCs w:val="false"/>
        </w:rPr>
        <w:t xml:space="preserve">The marketplace is public. Anyone may walk in, browse, buy, test, collect and return. Three reasons carried this. The 1,001 positions are sold on access to footfall, and a paywall at the door transfers the operator's risk onto the trader's table. The Costco analogy does not hold: Costco can close its door because it owns the inventory behind it, whereas Atmosphere's inventory belongs to a thousand independent people. And an anchor of the Trader Joe's type will not sit behind a turnstile.</w:t>
      </w:r>
    </w:p>
    <w:p>
      <w:pPr>
        <w:spacing w:after="140" w:line="300"/>
      </w:pPr>
      <w:r>
        <w:rPr>
          <w:i w:val="false"/>
          <w:iCs w:val="false"/>
        </w:rPr>
        <w:t xml:space="preserve">There is a modelling consequence an investor should weigh. Visit-to-member conversion and retention are the two largest sensitivities in the floor P&amp;L. If entry required membership, conversion would be 100% by construction, the sensitivity would vanish, and the business would quietly become one that sells doors rather than one that earns from five layers. Keeping the door open keeps the model honest.</w:t>
      </w:r>
    </w:p>
    <w:p>
      <w:pPr>
        <w:pStyle w:val="Heading2"/>
      </w:pPr>
      <w:r>
        <w:rPr>
          <w:i w:val="false"/>
          <w:iCs w:val="false"/>
        </w:rPr>
        <w:t xml:space="preserve">4.2 Founding principle</w:t>
      </w:r>
    </w:p>
    <w:p>
      <w:pPr>
        <w:pBdr>
          <w:left w:val="single" w:color="0F5F5C" w:sz="24" w:space="10"/>
        </w:pBdr>
        <w:shd w:fill="EEF3F0" w:val="clear"/>
        <w:spacing w:after="200" w:before="120" w:line="300"/>
        <w:ind w:left="240"/>
      </w:pPr>
      <w:r>
        <w:rPr>
          <w:b/>
          <w:bCs/>
          <w:i w:val="false"/>
          <w:iCs w:val="false"/>
          <w:sz w:val="22"/>
          <w:szCs w:val="22"/>
        </w:rPr>
        <w:t xml:space="preserve">Membership does not sell access. It sells recognition.</w:t>
      </w:r>
      <w:r>
        <w:rPr>
          <w:i w:val="false"/>
          <w:iCs w:val="false"/>
          <w:sz w:val="22"/>
          <w:szCs w:val="22"/>
        </w:rPr>
        <w:t xml:space="preserve"> A visitor enters the building. A member is somebody in the building: named in the matching system, backed by a record, vouched for. Everyone may stand in the room; membership decides who is introduced, who may teach, and who is answerable.</w:t>
      </w:r>
    </w:p>
    <w:p>
      <w:pPr>
        <w:pStyle w:val="Heading2"/>
      </w:pPr>
      <w:r>
        <w:rPr>
          <w:i w:val="false"/>
          <w:iCs w:val="false"/>
        </w:rPr>
        <w:t xml:space="preserve">4.3 Who actually walks in — six measured figures</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300"/>
        <w:gridCol w:w="4962"/>
        <w:gridCol w:w="2518"/>
        <w:gridCol w:w="1300"/>
      </w:tblGrid>
      <w:tr>
        <w:trPr>
          <w:cantSplit/>
          <w:tblHeader/>
        </w:trPr>
        <w:tc>
          <w:tcPr>
            <w:tcW w:type="dxa" w:w="1300"/>
            <w:tcBorders>
              <w:top w:val="single" w:color="D5DBD6" w:sz="4"/>
              <w:left w:val="none" w:color="FFFFFF" w:sz="0"/>
              <w:bottom w:val="single" w:color="D5DBD6" w:sz="4"/>
              <w:right w:val="none" w:color="FFFFFF" w:sz="0"/>
            </w:tcBorders>
            <w:shd w:fill="1B2530" w:color="auto" w:val="clear"/>
            <w:tcMar>
              <w:top w:type="dxa" w:w="70"/>
              <w:left w:type="dxa" w:w="100"/>
              <w:bottom w:type="dxa" w:w="70"/>
              <w:right w:type="dxa" w:w="100"/>
            </w:tcMar>
            <w:vAlign w:val="top"/>
          </w:tcPr>
          <w:p>
            <w:pPr>
              <w:spacing w:after="0" w:line="260"/>
              <w:jc w:val="left"/>
            </w:pPr>
            <w:r>
              <w:rPr>
                <w:rFonts w:ascii="Calibri" w:cs="Calibri" w:eastAsia="Calibri" w:hAnsi="Calibri"/>
                <w:b/>
                <w:bCs/>
                <w:i w:val="false"/>
                <w:iCs w:val="false"/>
                <w:color w:val="FFFFFF"/>
                <w:sz w:val="18"/>
                <w:szCs w:val="18"/>
              </w:rPr>
              <w:t xml:space="preserve">Figure</w:t>
            </w:r>
          </w:p>
        </w:tc>
        <w:tc>
          <w:tcPr>
            <w:tcW w:type="dxa" w:w="4962"/>
            <w:tcBorders>
              <w:top w:val="single" w:color="D5DBD6" w:sz="4"/>
              <w:left w:val="none" w:color="FFFFFF" w:sz="0"/>
              <w:bottom w:val="single" w:color="D5DBD6" w:sz="4"/>
              <w:right w:val="none" w:color="FFFFFF" w:sz="0"/>
            </w:tcBorders>
            <w:shd w:fill="1B2530" w:color="auto" w:val="clear"/>
            <w:tcMar>
              <w:top w:type="dxa" w:w="70"/>
              <w:left w:type="dxa" w:w="100"/>
              <w:bottom w:type="dxa" w:w="70"/>
              <w:right w:type="dxa" w:w="100"/>
            </w:tcMar>
            <w:vAlign w:val="top"/>
          </w:tcPr>
          <w:p>
            <w:pPr>
              <w:spacing w:after="0" w:line="260"/>
              <w:jc w:val="left"/>
            </w:pPr>
            <w:r>
              <w:rPr>
                <w:rFonts w:ascii="Calibri" w:cs="Calibri" w:eastAsia="Calibri" w:hAnsi="Calibri"/>
                <w:b/>
                <w:bCs/>
                <w:i w:val="false"/>
                <w:iCs w:val="false"/>
                <w:color w:val="FFFFFF"/>
                <w:sz w:val="18"/>
                <w:szCs w:val="18"/>
              </w:rPr>
              <w:t xml:space="preserve">Measured population</w:t>
            </w:r>
          </w:p>
        </w:tc>
        <w:tc>
          <w:tcPr>
            <w:tcW w:type="dxa" w:w="2518"/>
            <w:tcBorders>
              <w:top w:val="single" w:color="D5DBD6" w:sz="4"/>
              <w:left w:val="none" w:color="FFFFFF" w:sz="0"/>
              <w:bottom w:val="single" w:color="D5DBD6" w:sz="4"/>
              <w:right w:val="none" w:color="FFFFFF" w:sz="0"/>
            </w:tcBorders>
            <w:shd w:fill="1B2530" w:color="auto" w:val="clear"/>
            <w:tcMar>
              <w:top w:type="dxa" w:w="70"/>
              <w:left w:type="dxa" w:w="100"/>
              <w:bottom w:type="dxa" w:w="70"/>
              <w:right w:type="dxa" w:w="100"/>
            </w:tcMar>
            <w:vAlign w:val="top"/>
          </w:tcPr>
          <w:p>
            <w:pPr>
              <w:spacing w:after="0" w:line="260"/>
              <w:jc w:val="left"/>
            </w:pPr>
            <w:r>
              <w:rPr>
                <w:rFonts w:ascii="Calibri" w:cs="Calibri" w:eastAsia="Calibri" w:hAnsi="Calibri"/>
                <w:b/>
                <w:bCs/>
                <w:i w:val="false"/>
                <w:iCs w:val="false"/>
                <w:color w:val="FFFFFF"/>
                <w:sz w:val="18"/>
                <w:szCs w:val="18"/>
              </w:rPr>
              <w:t xml:space="preserve">What is missing for them</w:t>
            </w:r>
          </w:p>
        </w:tc>
        <w:tc>
          <w:tcPr>
            <w:tcW w:type="dxa" w:w="1300"/>
            <w:tcBorders>
              <w:top w:val="single" w:color="D5DBD6" w:sz="4"/>
              <w:left w:val="none" w:color="FFFFFF" w:sz="0"/>
              <w:bottom w:val="single" w:color="D5DBD6" w:sz="4"/>
              <w:right w:val="none" w:color="FFFFFF" w:sz="0"/>
            </w:tcBorders>
            <w:shd w:fill="1B2530" w:color="auto" w:val="clear"/>
            <w:tcMar>
              <w:top w:type="dxa" w:w="70"/>
              <w:left w:type="dxa" w:w="100"/>
              <w:bottom w:type="dxa" w:w="70"/>
              <w:right w:type="dxa" w:w="100"/>
            </w:tcMar>
            <w:vAlign w:val="top"/>
          </w:tcPr>
          <w:p>
            <w:pPr>
              <w:spacing w:after="0" w:line="260"/>
              <w:jc w:val="left"/>
            </w:pPr>
            <w:r>
              <w:rPr>
                <w:rFonts w:ascii="Calibri" w:cs="Calibri" w:eastAsia="Calibri" w:hAnsi="Calibri"/>
                <w:b/>
                <w:bCs/>
                <w:i w:val="false"/>
                <w:iCs w:val="false"/>
                <w:color w:val="FFFFFF"/>
                <w:sz w:val="18"/>
                <w:szCs w:val="18"/>
              </w:rPr>
              <w:t xml:space="preserve">Lands in</w:t>
            </w:r>
          </w:p>
        </w:tc>
      </w:tr>
      <w:tr>
        <w:trPr>
          <w:cantSplit/>
          <w:tblHeader w:val="false"/>
        </w:trPr>
        <w:tc>
          <w:tcPr>
            <w:tcW w:type="dxa" w:w="130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The Maker</w:t>
            </w:r>
          </w:p>
        </w:tc>
        <w:tc>
          <w:tcPr>
            <w:tcW w:type="dxa" w:w="4962"/>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5.6M active Etsy sellers, 97% home-based, 82% solo; cottage-food producers doubled since 2020 into a ~$2B market</w:t>
            </w:r>
          </w:p>
        </w:tc>
        <w:tc>
          <w:tcPr>
            <w:tcW w:type="dxa" w:w="2518"/>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A shop window — legal to produce, nowhere permanent to sell</w:t>
            </w:r>
          </w:p>
        </w:tc>
        <w:tc>
          <w:tcPr>
            <w:tcW w:type="dxa" w:w="130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Trader (04)</w:t>
            </w:r>
          </w:p>
        </w:tc>
      </w:tr>
      <w:tr>
        <w:trPr>
          <w:cantSplit/>
          <w:tblHeader w:val="false"/>
        </w:trPr>
        <w:tc>
          <w:tcPr>
            <w:tcW w:type="dxa" w:w="1300"/>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The Solo Professional</w:t>
            </w:r>
          </w:p>
        </w:tc>
        <w:tc>
          <w:tcPr>
            <w:tcW w:type="dxa" w:w="4962"/>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64–73M independent workers, 38–45% of the workforce, $1.27T freelance earnings; 53% of Gen Z freelancing</w:t>
            </w:r>
          </w:p>
        </w:tc>
        <w:tc>
          <w:tcPr>
            <w:tcW w:type="dxa" w:w="2518"/>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A room that is neither a kitchen table nor a silent serviced office</w:t>
            </w:r>
          </w:p>
        </w:tc>
        <w:tc>
          <w:tcPr>
            <w:tcW w:type="dxa" w:w="1300"/>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Arcade (02)</w:t>
            </w:r>
          </w:p>
        </w:tc>
      </w:tr>
      <w:tr>
        <w:trPr>
          <w:cantSplit/>
          <w:tblHeader w:val="false"/>
        </w:trPr>
        <w:tc>
          <w:tcPr>
            <w:tcW w:type="dxa" w:w="130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The Retired Master</w:t>
            </w:r>
          </w:p>
        </w:tc>
        <w:tc>
          <w:tcPr>
            <w:tcW w:type="dxa" w:w="4962"/>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Tradespeople and professionals out of the market; 67% of adults report loneliness from not belonging to a meaningful group</w:t>
            </w:r>
          </w:p>
        </w:tc>
        <w:tc>
          <w:tcPr>
            <w:tcW w:type="dxa" w:w="2518"/>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A role, and a sentence with which to introduce oneself</w:t>
            </w:r>
          </w:p>
        </w:tc>
        <w:tc>
          <w:tcPr>
            <w:tcW w:type="dxa" w:w="130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Emeritus (03)</w:t>
            </w:r>
          </w:p>
        </w:tc>
      </w:tr>
      <w:tr>
        <w:trPr>
          <w:cantSplit/>
          <w:tblHeader w:val="false"/>
        </w:trPr>
        <w:tc>
          <w:tcPr>
            <w:tcW w:type="dxa" w:w="1300"/>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The Unlaunched</w:t>
            </w:r>
          </w:p>
        </w:tc>
        <w:tc>
          <w:tcPr>
            <w:tcW w:type="dxa" w:w="4962"/>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42% underemployment among recent graduates (Q2 2026); 51% of 18–29s want to found something; ~470,000 file a month and never reach employer scale</w:t>
            </w:r>
          </w:p>
        </w:tc>
        <w:tc>
          <w:tcPr>
            <w:tcW w:type="dxa" w:w="2518"/>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A first customer and someone who has done it before</w:t>
            </w:r>
          </w:p>
        </w:tc>
        <w:tc>
          <w:tcPr>
            <w:tcW w:type="dxa" w:w="1300"/>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Master (01) → Trader</w:t>
            </w:r>
          </w:p>
        </w:tc>
      </w:tr>
      <w:tr>
        <w:trPr>
          <w:cantSplit/>
          <w:tblHeader w:val="false"/>
        </w:trPr>
        <w:tc>
          <w:tcPr>
            <w:tcW w:type="dxa" w:w="130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The Conscious Shopper</w:t>
            </w:r>
          </w:p>
        </w:tc>
        <w:tc>
          <w:tcPr>
            <w:tcW w:type="dxa" w:w="4962"/>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The 661-store Trader Joe's footprint as a verified map; 81M Americans hold a fitness membership, 26.1% penetration</w:t>
            </w:r>
          </w:p>
        </w:tc>
        <w:tc>
          <w:tcPr>
            <w:tcW w:type="dxa" w:w="2518"/>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Nothing — this figure is the footfall, and is already habituated to paying dues</w:t>
            </w:r>
          </w:p>
        </w:tc>
        <w:tc>
          <w:tcPr>
            <w:tcW w:type="dxa" w:w="130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Guest (00) → Master (01)</w:t>
            </w:r>
          </w:p>
        </w:tc>
      </w:tr>
      <w:tr>
        <w:trPr>
          <w:cantSplit/>
          <w:tblHeader w:val="false"/>
        </w:trPr>
        <w:tc>
          <w:tcPr>
            <w:tcW w:type="dxa" w:w="1300"/>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The Reconnector</w:t>
            </w:r>
          </w:p>
        </w:tc>
        <w:tc>
          <w:tcPr>
            <w:tcW w:type="dxa" w:w="4962"/>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Adults living alone, divorced or widowed; teenagers post the highest loneliness rate at ~21% (WHO)</w:t>
            </w:r>
          </w:p>
        </w:tc>
        <w:tc>
          <w:tcPr>
            <w:tcW w:type="dxa" w:w="2518"/>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A reason to leave the house that is not shopping and not a bar</w:t>
            </w:r>
          </w:p>
        </w:tc>
        <w:tc>
          <w:tcPr>
            <w:tcW w:type="dxa" w:w="1300"/>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Master (01)</w:t>
            </w:r>
          </w:p>
        </w:tc>
      </w:tr>
    </w:tbl>
    <w:p>
      <w:pPr>
        <w:spacing w:after="120"/>
      </w:pPr>
    </w:p>
    <w:p>
      <w:pPr>
        <w:spacing w:after="140" w:line="300"/>
      </w:pPr>
      <w:r>
        <w:rPr>
          <w:b/>
          <w:bCs/>
          <w:i w:val="false"/>
          <w:iCs w:val="false"/>
        </w:rPr>
        <w:t xml:space="preserve">Per site.</w:t>
      </w:r>
      <w:r>
        <w:rPr>
          <w:i w:val="false"/>
          <w:iCs w:val="false"/>
        </w:rPr>
        <w:t xml:space="preserve"> In a 500,000-person trade area the evidence index derives roughly 45,000 nonemployer firms and about 100,000 adults who have seriously considered founding something. The membership study adds a third number: at 26.1% national penetration, approximately 130,000 adults in the same area already pay dues for a membership of some kind, most often a gym. That figure measures habit rather than intent. The honest reading: these are addressable populations, not demand, and the conversion assumptions in Landlord Math remain the binding constraint.</w:t>
      </w:r>
    </w:p>
    <w:p>
      <w:pPr>
        <w:pStyle w:val="Heading2"/>
      </w:pPr>
      <w:r>
        <w:rPr>
          <w:i w:val="false"/>
          <w:iCs w:val="false"/>
        </w:rPr>
        <w:t xml:space="preserve">4.4 Three families, seven tiers</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559"/>
        <w:gridCol w:w="1300"/>
        <w:gridCol w:w="1941"/>
        <w:gridCol w:w="1328"/>
        <w:gridCol w:w="3651"/>
        <w:gridCol w:w="1301"/>
      </w:tblGrid>
      <w:tr>
        <w:trPr>
          <w:cantSplit/>
          <w:tblHeader/>
        </w:trPr>
        <w:tc>
          <w:tcPr>
            <w:tcW w:type="dxa" w:w="559"/>
            <w:tcBorders>
              <w:top w:val="single" w:color="D5DBD6" w:sz="4"/>
              <w:left w:val="none" w:color="FFFFFF" w:sz="0"/>
              <w:bottom w:val="single" w:color="D5DBD6" w:sz="4"/>
              <w:right w:val="none" w:color="FFFFFF" w:sz="0"/>
            </w:tcBorders>
            <w:shd w:fill="1B2530" w:color="auto" w:val="clear"/>
            <w:tcMar>
              <w:top w:type="dxa" w:w="70"/>
              <w:left w:type="dxa" w:w="100"/>
              <w:bottom w:type="dxa" w:w="70"/>
              <w:right w:type="dxa" w:w="100"/>
            </w:tcMar>
            <w:vAlign w:val="top"/>
          </w:tcPr>
          <w:p>
            <w:pPr>
              <w:spacing w:after="0" w:line="260"/>
              <w:jc w:val="left"/>
            </w:pPr>
            <w:r>
              <w:rPr>
                <w:rFonts w:ascii="Calibri" w:cs="Calibri" w:eastAsia="Calibri" w:hAnsi="Calibri"/>
                <w:b/>
                <w:bCs/>
                <w:i w:val="false"/>
                <w:iCs w:val="false"/>
                <w:color w:val="FFFFFF"/>
                <w:sz w:val="18"/>
                <w:szCs w:val="18"/>
              </w:rPr>
              <w:t xml:space="preserve">#</w:t>
            </w:r>
          </w:p>
        </w:tc>
        <w:tc>
          <w:tcPr>
            <w:tcW w:type="dxa" w:w="1300"/>
            <w:tcBorders>
              <w:top w:val="single" w:color="D5DBD6" w:sz="4"/>
              <w:left w:val="none" w:color="FFFFFF" w:sz="0"/>
              <w:bottom w:val="single" w:color="D5DBD6" w:sz="4"/>
              <w:right w:val="none" w:color="FFFFFF" w:sz="0"/>
            </w:tcBorders>
            <w:shd w:fill="1B2530" w:color="auto" w:val="clear"/>
            <w:tcMar>
              <w:top w:type="dxa" w:w="70"/>
              <w:left w:type="dxa" w:w="100"/>
              <w:bottom w:type="dxa" w:w="70"/>
              <w:right w:type="dxa" w:w="100"/>
            </w:tcMar>
            <w:vAlign w:val="top"/>
          </w:tcPr>
          <w:p>
            <w:pPr>
              <w:spacing w:after="0" w:line="260"/>
              <w:jc w:val="left"/>
            </w:pPr>
            <w:r>
              <w:rPr>
                <w:rFonts w:ascii="Calibri" w:cs="Calibri" w:eastAsia="Calibri" w:hAnsi="Calibri"/>
                <w:b/>
                <w:bCs/>
                <w:i w:val="false"/>
                <w:iCs w:val="false"/>
                <w:color w:val="FFFFFF"/>
                <w:sz w:val="18"/>
                <w:szCs w:val="18"/>
              </w:rPr>
              <w:t xml:space="preserve">Tier</w:t>
            </w:r>
          </w:p>
        </w:tc>
        <w:tc>
          <w:tcPr>
            <w:tcW w:type="dxa" w:w="1941"/>
            <w:tcBorders>
              <w:top w:val="single" w:color="D5DBD6" w:sz="4"/>
              <w:left w:val="none" w:color="FFFFFF" w:sz="0"/>
              <w:bottom w:val="single" w:color="D5DBD6" w:sz="4"/>
              <w:right w:val="none" w:color="FFFFFF" w:sz="0"/>
            </w:tcBorders>
            <w:shd w:fill="1B2530" w:color="auto" w:val="clear"/>
            <w:tcMar>
              <w:top w:type="dxa" w:w="70"/>
              <w:left w:type="dxa" w:w="100"/>
              <w:bottom w:type="dxa" w:w="70"/>
              <w:right w:type="dxa" w:w="100"/>
            </w:tcMar>
            <w:vAlign w:val="top"/>
          </w:tcPr>
          <w:p>
            <w:pPr>
              <w:spacing w:after="0" w:line="260"/>
              <w:jc w:val="left"/>
            </w:pPr>
            <w:r>
              <w:rPr>
                <w:rFonts w:ascii="Calibri" w:cs="Calibri" w:eastAsia="Calibri" w:hAnsi="Calibri"/>
                <w:b/>
                <w:bCs/>
                <w:i w:val="false"/>
                <w:iCs w:val="false"/>
                <w:color w:val="FFFFFF"/>
                <w:sz w:val="18"/>
                <w:szCs w:val="18"/>
              </w:rPr>
              <w:t xml:space="preserve">Who</w:t>
            </w:r>
          </w:p>
        </w:tc>
        <w:tc>
          <w:tcPr>
            <w:tcW w:type="dxa" w:w="1328"/>
            <w:tcBorders>
              <w:top w:val="single" w:color="D5DBD6" w:sz="4"/>
              <w:left w:val="none" w:color="FFFFFF" w:sz="0"/>
              <w:bottom w:val="single" w:color="D5DBD6" w:sz="4"/>
              <w:right w:val="none" w:color="FFFFFF" w:sz="0"/>
            </w:tcBorders>
            <w:shd w:fill="1B2530" w:color="auto" w:val="clear"/>
            <w:tcMar>
              <w:top w:type="dxa" w:w="70"/>
              <w:left w:type="dxa" w:w="100"/>
              <w:bottom w:type="dxa" w:w="70"/>
              <w:right w:type="dxa" w:w="100"/>
            </w:tcMar>
            <w:vAlign w:val="top"/>
          </w:tcPr>
          <w:p>
            <w:pPr>
              <w:spacing w:after="0" w:line="260"/>
              <w:jc w:val="left"/>
            </w:pPr>
            <w:r>
              <w:rPr>
                <w:rFonts w:ascii="Calibri" w:cs="Calibri" w:eastAsia="Calibri" w:hAnsi="Calibri"/>
                <w:b/>
                <w:bCs/>
                <w:i w:val="false"/>
                <w:iCs w:val="false"/>
                <w:color w:val="FFFFFF"/>
                <w:sz w:val="18"/>
                <w:szCs w:val="18"/>
              </w:rPr>
              <w:t xml:space="preserve">Pays</w:t>
            </w:r>
          </w:p>
        </w:tc>
        <w:tc>
          <w:tcPr>
            <w:tcW w:type="dxa" w:w="3651"/>
            <w:tcBorders>
              <w:top w:val="single" w:color="D5DBD6" w:sz="4"/>
              <w:left w:val="none" w:color="FFFFFF" w:sz="0"/>
              <w:bottom w:val="single" w:color="D5DBD6" w:sz="4"/>
              <w:right w:val="none" w:color="FFFFFF" w:sz="0"/>
            </w:tcBorders>
            <w:shd w:fill="1B2530" w:color="auto" w:val="clear"/>
            <w:tcMar>
              <w:top w:type="dxa" w:w="70"/>
              <w:left w:type="dxa" w:w="100"/>
              <w:bottom w:type="dxa" w:w="70"/>
              <w:right w:type="dxa" w:w="100"/>
            </w:tcMar>
            <w:vAlign w:val="top"/>
          </w:tcPr>
          <w:p>
            <w:pPr>
              <w:spacing w:after="0" w:line="260"/>
              <w:jc w:val="left"/>
            </w:pPr>
            <w:r>
              <w:rPr>
                <w:rFonts w:ascii="Calibri" w:cs="Calibri" w:eastAsia="Calibri" w:hAnsi="Calibri"/>
                <w:b/>
                <w:bCs/>
                <w:i w:val="false"/>
                <w:iCs w:val="false"/>
                <w:color w:val="FFFFFF"/>
                <w:sz w:val="18"/>
                <w:szCs w:val="18"/>
              </w:rPr>
              <w:t xml:space="preserve">Receives</w:t>
            </w:r>
          </w:p>
        </w:tc>
        <w:tc>
          <w:tcPr>
            <w:tcW w:type="dxa" w:w="1301"/>
            <w:tcBorders>
              <w:top w:val="single" w:color="D5DBD6" w:sz="4"/>
              <w:left w:val="none" w:color="FFFFFF" w:sz="0"/>
              <w:bottom w:val="single" w:color="D5DBD6" w:sz="4"/>
              <w:right w:val="none" w:color="FFFFFF" w:sz="0"/>
            </w:tcBorders>
            <w:shd w:fill="1B2530" w:color="auto" w:val="clear"/>
            <w:tcMar>
              <w:top w:type="dxa" w:w="70"/>
              <w:left w:type="dxa" w:w="100"/>
              <w:bottom w:type="dxa" w:w="70"/>
              <w:right w:type="dxa" w:w="100"/>
            </w:tcMar>
            <w:vAlign w:val="top"/>
          </w:tcPr>
          <w:p>
            <w:pPr>
              <w:spacing w:after="0" w:line="260"/>
              <w:jc w:val="left"/>
            </w:pPr>
            <w:r>
              <w:rPr>
                <w:rFonts w:ascii="Calibri" w:cs="Calibri" w:eastAsia="Calibri" w:hAnsi="Calibri"/>
                <w:b/>
                <w:bCs/>
                <w:i w:val="false"/>
                <w:iCs w:val="false"/>
                <w:color w:val="FFFFFF"/>
                <w:sz w:val="18"/>
                <w:szCs w:val="18"/>
              </w:rPr>
              <w:t xml:space="preserve">Admission</w:t>
            </w:r>
          </w:p>
        </w:tc>
      </w:tr>
      <w:tr>
        <w:trPr>
          <w:cantSplit/>
          <w:tblHeader w:val="false"/>
        </w:trPr>
        <w:tc>
          <w:tcPr>
            <w:tcW w:type="dxa" w:w="10080"/>
            <w:gridSpan w:val="6"/>
            <w:tcBorders>
              <w:top w:val="single" w:color="D5DBD6" w:sz="4"/>
              <w:left w:val="none" w:color="FFFFFF" w:sz="0"/>
              <w:bottom w:val="single" w:color="D5DBD6" w:sz="4"/>
              <w:right w:val="none" w:color="FFFFFF" w:sz="0"/>
            </w:tcBorders>
            <w:shd w:fill="D6E7E4" w:color="auto" w:val="clear"/>
            <w:tcMar>
              <w:top w:type="dxa" w:w="70"/>
              <w:left w:type="dxa" w:w="100"/>
              <w:bottom w:type="dxa" w:w="70"/>
              <w:right w:type="dxa" w:w="100"/>
            </w:tcMar>
            <w:vAlign w:val="top"/>
          </w:tcPr>
          <w:p>
            <w:pPr>
              <w:spacing w:after="0" w:line="260"/>
              <w:jc w:val="left"/>
            </w:pPr>
            <w:r>
              <w:rPr>
                <w:rFonts w:ascii="Calibri" w:cs="Calibri" w:eastAsia="Calibri" w:hAnsi="Calibri"/>
                <w:b/>
                <w:bCs/>
                <w:i w:val="false"/>
                <w:iCs w:val="false"/>
                <w:color w:val="0F5F5C"/>
                <w:sz w:val="18"/>
                <w:szCs w:val="18"/>
              </w:rPr>
              <w:t xml:space="preserve">Visitors — in the building, not yet of it</w:t>
            </w:r>
          </w:p>
        </w:tc>
      </w:tr>
      <w:tr>
        <w:trPr>
          <w:cantSplit/>
          <w:tblHeader w:val="false"/>
        </w:trPr>
        <w:tc>
          <w:tcPr>
            <w:tcW w:type="dxa" w:w="559"/>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00</w:t>
            </w:r>
          </w:p>
        </w:tc>
        <w:tc>
          <w:tcPr>
            <w:tcW w:type="dxa" w:w="130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Guest</w:t>
            </w:r>
          </w:p>
        </w:tc>
        <w:tc>
          <w:tcPr>
            <w:tcW w:type="dxa" w:w="1941"/>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Registered visitor</w:t>
            </w:r>
          </w:p>
        </w:tc>
        <w:tc>
          <w:tcPr>
            <w:tcW w:type="dxa" w:w="1328"/>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Free</w:t>
            </w:r>
          </w:p>
        </w:tc>
        <w:tc>
          <w:tcPr>
            <w:tcW w:type="dxa" w:w="3651"/>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App, locker, drop-off / pick-up / return, event calendar, guest Wi-Fi</w:t>
            </w:r>
          </w:p>
        </w:tc>
        <w:tc>
          <w:tcPr>
            <w:tcW w:type="dxa" w:w="1301"/>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Registration only</w:t>
            </w:r>
          </w:p>
        </w:tc>
      </w:tr>
      <w:tr>
        <w:trPr>
          <w:cantSplit/>
          <w:tblHeader w:val="false"/>
        </w:trPr>
        <w:tc>
          <w:tcPr>
            <w:tcW w:type="dxa" w:w="10080"/>
            <w:gridSpan w:val="6"/>
            <w:tcBorders>
              <w:top w:val="single" w:color="D5DBD6" w:sz="4"/>
              <w:left w:val="none" w:color="FFFFFF" w:sz="0"/>
              <w:bottom w:val="single" w:color="D5DBD6" w:sz="4"/>
              <w:right w:val="none" w:color="FFFFFF" w:sz="0"/>
            </w:tcBorders>
            <w:shd w:fill="D6E7E4" w:color="auto" w:val="clear"/>
            <w:tcMar>
              <w:top w:type="dxa" w:w="70"/>
              <w:left w:type="dxa" w:w="100"/>
              <w:bottom w:type="dxa" w:w="70"/>
              <w:right w:type="dxa" w:w="100"/>
            </w:tcMar>
            <w:vAlign w:val="top"/>
          </w:tcPr>
          <w:p>
            <w:pPr>
              <w:spacing w:after="0" w:line="260"/>
              <w:jc w:val="left"/>
            </w:pPr>
            <w:r>
              <w:rPr>
                <w:rFonts w:ascii="Calibri" w:cs="Calibri" w:eastAsia="Calibri" w:hAnsi="Calibri"/>
                <w:b/>
                <w:bCs/>
                <w:i w:val="false"/>
                <w:iCs w:val="false"/>
                <w:color w:val="0F5F5C"/>
                <w:sz w:val="18"/>
                <w:szCs w:val="18"/>
              </w:rPr>
              <w:t xml:space="preserve">Users — the building is theirs to use</w:t>
            </w:r>
          </w:p>
        </w:tc>
      </w:tr>
      <w:tr>
        <w:trPr>
          <w:cantSplit/>
          <w:tblHeader w:val="false"/>
        </w:trPr>
        <w:tc>
          <w:tcPr>
            <w:tcW w:type="dxa" w:w="559"/>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01</w:t>
            </w:r>
          </w:p>
        </w:tc>
        <w:tc>
          <w:tcPr>
            <w:tcW w:type="dxa" w:w="1300"/>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Master</w:t>
            </w:r>
          </w:p>
        </w:tc>
        <w:tc>
          <w:tcPr>
            <w:tcW w:type="dxa" w:w="1941"/>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Open to all</w:t>
            </w:r>
          </w:p>
        </w:tc>
        <w:tc>
          <w:tcPr>
            <w:tcW w:type="dxa" w:w="1328"/>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Monthly</w:t>
            </w:r>
          </w:p>
        </w:tc>
        <w:tc>
          <w:tcPr>
            <w:tcW w:type="dxa" w:w="3651"/>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Unlimited entry, house coffee/tea/water, Wi-Fi, visibility in matching, guest rights, supervised gym access, tasting programme</w:t>
            </w:r>
          </w:p>
        </w:tc>
        <w:tc>
          <w:tcPr>
            <w:tcW w:type="dxa" w:w="1301"/>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No refusal</w:t>
            </w:r>
          </w:p>
        </w:tc>
      </w:tr>
      <w:tr>
        <w:trPr>
          <w:cantSplit/>
          <w:tblHeader w:val="false"/>
        </w:trPr>
        <w:tc>
          <w:tcPr>
            <w:tcW w:type="dxa" w:w="559"/>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02</w:t>
            </w:r>
          </w:p>
        </w:tc>
        <w:tc>
          <w:tcPr>
            <w:tcW w:type="dxa" w:w="130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Arcade</w:t>
            </w:r>
          </w:p>
        </w:tc>
        <w:tc>
          <w:tcPr>
            <w:tcW w:type="dxa" w:w="1941"/>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Working member</w:t>
            </w:r>
          </w:p>
        </w:tc>
        <w:tc>
          <w:tcPr>
            <w:tcW w:type="dxa" w:w="1328"/>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Master + service fee</w:t>
            </w:r>
          </w:p>
        </w:tc>
        <w:tc>
          <w:tcPr>
            <w:tcW w:type="dxa" w:w="3651"/>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Serviced workspace, meeting rooms, mailing address, mezzanine access</w:t>
            </w:r>
          </w:p>
        </w:tc>
        <w:tc>
          <w:tcPr>
            <w:tcW w:type="dxa" w:w="1301"/>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No refusal; capacity-capped</w:t>
            </w:r>
          </w:p>
        </w:tc>
      </w:tr>
      <w:tr>
        <w:trPr>
          <w:cantSplit/>
          <w:tblHeader w:val="false"/>
        </w:trPr>
        <w:tc>
          <w:tcPr>
            <w:tcW w:type="dxa" w:w="559"/>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03</w:t>
            </w:r>
          </w:p>
        </w:tc>
        <w:tc>
          <w:tcPr>
            <w:tcW w:type="dxa" w:w="1300"/>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Emeritus</w:t>
            </w:r>
          </w:p>
        </w:tc>
        <w:tc>
          <w:tcPr>
            <w:tcW w:type="dxa" w:w="1941"/>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Retired master craftsperson, tradesperson, polymath; homemakers re-entering</w:t>
            </w:r>
          </w:p>
        </w:tc>
        <w:tc>
          <w:tcPr>
            <w:tcW w:type="dxa" w:w="1328"/>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50% of Master — never zero</w:t>
            </w:r>
          </w:p>
        </w:tc>
        <w:tc>
          <w:tcPr>
            <w:tcW w:type="dxa" w:w="3651"/>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Master rights + the right to open a session + a public record page</w:t>
            </w:r>
          </w:p>
        </w:tc>
        <w:tc>
          <w:tcPr>
            <w:tcW w:type="dxa" w:w="1301"/>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Vetted: reference + interview</w:t>
            </w:r>
          </w:p>
        </w:tc>
      </w:tr>
      <w:tr>
        <w:trPr>
          <w:cantSplit/>
          <w:tblHeader w:val="false"/>
        </w:trPr>
        <w:tc>
          <w:tcPr>
            <w:tcW w:type="dxa" w:w="559"/>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04</w:t>
            </w:r>
          </w:p>
        </w:tc>
        <w:tc>
          <w:tcPr>
            <w:tcW w:type="dxa" w:w="130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Trader</w:t>
            </w:r>
          </w:p>
        </w:tc>
        <w:tc>
          <w:tcPr>
            <w:tcW w:type="dxa" w:w="1941"/>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Holder of one of the 1,001 positions</w:t>
            </w:r>
          </w:p>
        </w:tc>
        <w:tc>
          <w:tcPr>
            <w:tcW w:type="dxa" w:w="1328"/>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Included in the position fee</w:t>
            </w:r>
          </w:p>
        </w:tc>
        <w:tc>
          <w:tcPr>
            <w:tcW w:type="dxa" w:w="3651"/>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Master rights + priority access to Emeritus + Stage eligibility</w:t>
            </w:r>
          </w:p>
        </w:tc>
        <w:tc>
          <w:tcPr>
            <w:tcW w:type="dxa" w:w="1301"/>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Position criteria</w:t>
            </w:r>
          </w:p>
        </w:tc>
      </w:tr>
      <w:tr>
        <w:trPr>
          <w:cantSplit/>
          <w:tblHeader w:val="false"/>
        </w:trPr>
        <w:tc>
          <w:tcPr>
            <w:tcW w:type="dxa" w:w="10080"/>
            <w:gridSpan w:val="6"/>
            <w:tcBorders>
              <w:top w:val="single" w:color="D5DBD6" w:sz="4"/>
              <w:left w:val="none" w:color="FFFFFF" w:sz="0"/>
              <w:bottom w:val="single" w:color="D5DBD6" w:sz="4"/>
              <w:right w:val="none" w:color="FFFFFF" w:sz="0"/>
            </w:tcBorders>
            <w:shd w:fill="D6E7E4" w:color="auto" w:val="clear"/>
            <w:tcMar>
              <w:top w:type="dxa" w:w="70"/>
              <w:left w:type="dxa" w:w="100"/>
              <w:bottom w:type="dxa" w:w="70"/>
              <w:right w:type="dxa" w:w="100"/>
            </w:tcMar>
            <w:vAlign w:val="top"/>
          </w:tcPr>
          <w:p>
            <w:pPr>
              <w:spacing w:after="0" w:line="260"/>
              <w:jc w:val="left"/>
            </w:pPr>
            <w:r>
              <w:rPr>
                <w:rFonts w:ascii="Calibri" w:cs="Calibri" w:eastAsia="Calibri" w:hAnsi="Calibri"/>
                <w:b/>
                <w:bCs/>
                <w:i w:val="false"/>
                <w:iCs w:val="false"/>
                <w:color w:val="0F5F5C"/>
                <w:sz w:val="18"/>
                <w:szCs w:val="18"/>
              </w:rPr>
              <w:t xml:space="preserve">Beyond — connected without standing in the room</w:t>
            </w:r>
          </w:p>
        </w:tc>
      </w:tr>
      <w:tr>
        <w:trPr>
          <w:cantSplit/>
          <w:tblHeader w:val="false"/>
        </w:trPr>
        <w:tc>
          <w:tcPr>
            <w:tcW w:type="dxa" w:w="559"/>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05</w:t>
            </w:r>
          </w:p>
        </w:tc>
        <w:tc>
          <w:tcPr>
            <w:tcW w:type="dxa" w:w="1300"/>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Corporate</w:t>
            </w:r>
          </w:p>
        </w:tc>
        <w:tc>
          <w:tcPr>
            <w:tcW w:type="dxa" w:w="1941"/>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Anchors, brands, institutions</w:t>
            </w:r>
          </w:p>
        </w:tc>
        <w:tc>
          <w:tcPr>
            <w:tcW w:type="dxa" w:w="1328"/>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Annual, per seat</w:t>
            </w:r>
          </w:p>
        </w:tc>
        <w:tc>
          <w:tcPr>
            <w:tcW w:type="dxa" w:w="3651"/>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Allocated Arcade seats + Emeritus sessions for junior staff + demo and tasting programme</w:t>
            </w:r>
          </w:p>
        </w:tc>
        <w:tc>
          <w:tcPr>
            <w:tcW w:type="dxa" w:w="1301"/>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By contract</w:t>
            </w:r>
          </w:p>
        </w:tc>
      </w:tr>
      <w:tr>
        <w:trPr>
          <w:cantSplit/>
          <w:tblHeader w:val="false"/>
        </w:trPr>
        <w:tc>
          <w:tcPr>
            <w:tcW w:type="dxa" w:w="559"/>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06</w:t>
            </w:r>
          </w:p>
        </w:tc>
        <w:tc>
          <w:tcPr>
            <w:tcW w:type="dxa" w:w="130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Stage Access</w:t>
            </w:r>
          </w:p>
        </w:tc>
        <w:tc>
          <w:tcPr>
            <w:tcW w:type="dxa" w:w="1941"/>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Creators and live sellers</w:t>
            </w:r>
          </w:p>
        </w:tc>
        <w:tc>
          <w:tcPr>
            <w:tcW w:type="dxa" w:w="1328"/>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Master at full price + commission on sales</w:t>
            </w:r>
          </w:p>
        </w:tc>
        <w:tc>
          <w:tcPr>
            <w:tcW w:type="dxa" w:w="3651"/>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Studio and stage slots, allocated on conversion</w:t>
            </w:r>
          </w:p>
        </w:tc>
        <w:tc>
          <w:tcPr>
            <w:tcW w:type="dxa" w:w="1301"/>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Separate application</w:t>
            </w:r>
          </w:p>
        </w:tc>
      </w:tr>
      <w:tr>
        <w:trPr>
          <w:cantSplit/>
          <w:tblHeader w:val="false"/>
        </w:trPr>
        <w:tc>
          <w:tcPr>
            <w:tcW w:type="dxa" w:w="559"/>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07</w:t>
            </w:r>
          </w:p>
        </w:tc>
        <w:tc>
          <w:tcPr>
            <w:tcW w:type="dxa" w:w="1300"/>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Digital Twin</w:t>
            </w:r>
          </w:p>
        </w:tc>
        <w:tc>
          <w:tcPr>
            <w:tcW w:type="dxa" w:w="1941"/>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Holder of one of the 1,001 twin lockers</w:t>
            </w:r>
          </w:p>
        </w:tc>
        <w:tc>
          <w:tcPr>
            <w:tcW w:type="dxa" w:w="1328"/>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Included in the twin fee</w:t>
            </w:r>
          </w:p>
        </w:tc>
        <w:tc>
          <w:tcPr>
            <w:tcW w:type="dxa" w:w="3651"/>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Directory listing, matching rights, logistics</w:t>
            </w:r>
          </w:p>
        </w:tc>
        <w:tc>
          <w:tcPr>
            <w:tcW w:type="dxa" w:w="1301"/>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Twin criteria</w:t>
            </w:r>
          </w:p>
        </w:tc>
      </w:tr>
    </w:tbl>
    <w:p>
      <w:pPr>
        <w:spacing w:after="120"/>
      </w:pPr>
    </w:p>
    <w:p>
      <w:pPr>
        <w:spacing w:after="140" w:line="300"/>
      </w:pPr>
      <w:r>
        <w:rPr>
          <w:i w:val="false"/>
          <w:iCs w:val="false"/>
        </w:rPr>
        <w:t xml:space="preserve">Exclusion happens in exactly one place: the right to teach. Master must stay open — the levelling requirement and the marketplace's need for footfall both demand it. The right to open a session must be selected, or quality control collapses, and in a knowledge-transfer venue it does not come back.</w:t>
      </w:r>
    </w:p>
    <w:p>
      <w:pPr>
        <w:pStyle w:val="Heading2"/>
      </w:pPr>
      <w:r>
        <w:rPr>
          <w:i w:val="false"/>
          <w:iCs w:val="false"/>
        </w:rPr>
        <w:t xml:space="preserve">4.5 Guest → Master: the conversion engine</w:t>
      </w:r>
    </w:p>
    <w:p>
      <w:pPr>
        <w:spacing w:after="140" w:line="300"/>
      </w:pPr>
      <w:r>
        <w:rPr>
          <w:i w:val="false"/>
          <w:iCs w:val="false"/>
        </w:rPr>
        <w:t xml:space="preserve">Guest is free but registered; an anonymous visitor cannot be converted. Registration is bought, not demanded: the locker, the drop-off/return point and the digital-twin pick-up service are the instruments that make a shopper give a name. The recommended mechanic is a ninety-day activation window in which the visitor accumulates a visible record — visits made, sessions attended, people met — and membership is then offered against that record. The invitation reads as recognition of what the person already did, not a bill for what they might do.</w:t>
      </w:r>
    </w:p>
    <w:p>
      <w:pPr>
        <w:spacing w:after="140" w:line="300"/>
      </w:pPr>
      <w:r>
        <w:rPr>
          <w:i w:val="false"/>
          <w:iCs w:val="false"/>
        </w:rPr>
        <w:t xml:space="preserve">The governing benchmark is Costco's 92.3% renewal rate, sustained through a fee increase. The executive member pays $130 a year and spends $4,629 across 36 visits; the fee is recovered within the first one or two trips. The operative rule for Atmosphere is the payback rule: the member must feel the fee returned within the first 30 to 45 days.</w:t>
      </w:r>
    </w:p>
    <w:p>
      <w:pPr>
        <w:pStyle w:val="Heading2"/>
      </w:pPr>
      <w:r>
        <w:rPr>
          <w:i w:val="false"/>
          <w:iCs w:val="false"/>
        </w:rPr>
        <w:t xml:space="preserve">4.6 Emeritus, Trader, Corporate, creators</w:t>
      </w:r>
    </w:p>
    <w:p>
      <w:pPr>
        <w:spacing w:after="140" w:line="300"/>
      </w:pPr>
      <w:r>
        <w:rPr>
          <w:b/>
          <w:bCs/>
          <w:i w:val="false"/>
          <w:iCs w:val="false"/>
        </w:rPr>
        <w:t xml:space="preserve">Emeritus pays half of Master, never zero.</w:t>
      </w:r>
      <w:r>
        <w:rPr>
          <w:i w:val="false"/>
          <w:iCs w:val="false"/>
        </w:rPr>
        <w:t xml:space="preserve"> A free member is a guest; a paying member is a host, and host is the standing the retired master is looking for. The discount is funded from the Trader and Corporate pools. State support has been removed from the model: the project's own evidence index shows that every public instrument targets the entrepreneur's pocket or head and none the ground under their feet; any grant that materialises is upside. Matching runs silently through the app; the screen shows the programme, never the interest count — one empty session ends a membership.</w:t>
      </w:r>
    </w:p>
    <w:p>
      <w:pPr>
        <w:spacing w:after="140" w:line="300"/>
      </w:pPr>
      <w:r>
        <w:rPr>
          <w:b/>
          <w:bCs/>
          <w:i w:val="false"/>
          <w:iCs w:val="false"/>
        </w:rPr>
        <w:t xml:space="preserve">Trader membership travels with the position.</w:t>
      </w:r>
      <w:r>
        <w:rPr>
          <w:i w:val="false"/>
          <w:iCs w:val="false"/>
        </w:rPr>
        <w:t xml:space="preserve"> Whoever holds one of the 1,001 positions or the 1,001 twin lockers is a member; roughly two thousand memberships arise without a separate sale. Trader membership is an identity instrument, not a revenue line — two thousand members at warehouse-club dues are a few hundred thousand dollars a year against an indicative line-01 figure of ~$9.2M. Digital-twin membership becomes a product only when directory visibility and matching rights are attached to the locker.</w:t>
      </w:r>
    </w:p>
    <w:p>
      <w:pPr>
        <w:spacing w:after="140" w:line="300"/>
      </w:pPr>
      <w:r>
        <w:rPr>
          <w:b/>
          <w:bCs/>
          <w:i w:val="false"/>
          <w:iCs w:val="false"/>
        </w:rPr>
        <w:t xml:space="preserve">Corporate pays for tacit knowledge.</w:t>
      </w:r>
      <w:r>
        <w:rPr>
          <w:i w:val="false"/>
          <w:iCs w:val="false"/>
        </w:rPr>
        <w:t xml:space="preserve"> Apprenticeship has thinned and firms carry the cost; what a retired electrician knows is not on YouTube and not in a model. Corporate membership buys allocated Arcade seats plus Emeritus sessions for junior staff. The demand is evidenced: corporations already buy physical presence by the day at $35–600 in the demo market, with demo conversion cited at 15–35% against 2–3% for digital advertising.</w:t>
      </w:r>
    </w:p>
    <w:p>
      <w:pPr>
        <w:spacing w:after="140" w:line="300"/>
      </w:pPr>
      <w:r>
        <w:rPr>
          <w:b/>
          <w:bCs/>
          <w:i w:val="false"/>
          <w:iCs w:val="false"/>
        </w:rPr>
        <w:t xml:space="preserve">Creators are a commercial role, not a tier.</w:t>
      </w:r>
      <w:r>
        <w:rPr>
          <w:i w:val="false"/>
          <w:iCs w:val="false"/>
        </w:rPr>
        <w:t xml:space="preserve"> No discounted creator tier: a creator first becomes a Master at full price, then applies for Stage Access, paid by commission on what is sold rather than a fee. Slot allocation is a function of conversion measured by Fifth Signal, not follower counts — followers can be bought; the till cannot. US live selling is ~14% of GMV against 70–80% in China: unfilled room, not a ceiling.</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3027"/>
        <w:gridCol w:w="1486"/>
        <w:gridCol w:w="5567"/>
      </w:tblGrid>
      <w:tr>
        <w:trPr>
          <w:cantSplit/>
          <w:tblHeader/>
        </w:trPr>
        <w:tc>
          <w:tcPr>
            <w:tcW w:type="dxa" w:w="3027"/>
            <w:tcBorders>
              <w:top w:val="single" w:color="D5DBD6" w:sz="4"/>
              <w:left w:val="none" w:color="FFFFFF" w:sz="0"/>
              <w:bottom w:val="single" w:color="D5DBD6" w:sz="4"/>
              <w:right w:val="none" w:color="FFFFFF" w:sz="0"/>
            </w:tcBorders>
            <w:shd w:fill="1B2530" w:color="auto" w:val="clear"/>
            <w:tcMar>
              <w:top w:type="dxa" w:w="70"/>
              <w:left w:type="dxa" w:w="100"/>
              <w:bottom w:type="dxa" w:w="70"/>
              <w:right w:type="dxa" w:w="100"/>
            </w:tcMar>
            <w:vAlign w:val="top"/>
          </w:tcPr>
          <w:p>
            <w:pPr>
              <w:spacing w:after="0" w:line="260"/>
              <w:jc w:val="left"/>
            </w:pPr>
            <w:r>
              <w:rPr>
                <w:rFonts w:ascii="Calibri" w:cs="Calibri" w:eastAsia="Calibri" w:hAnsi="Calibri"/>
                <w:b/>
                <w:bCs/>
                <w:i w:val="false"/>
                <w:iCs w:val="false"/>
                <w:color w:val="FFFFFF"/>
                <w:sz w:val="18"/>
                <w:szCs w:val="18"/>
              </w:rPr>
              <w:t xml:space="preserve">Zone</w:t>
            </w:r>
          </w:p>
        </w:tc>
        <w:tc>
          <w:tcPr>
            <w:tcW w:type="dxa" w:w="1486"/>
            <w:tcBorders>
              <w:top w:val="single" w:color="D5DBD6" w:sz="4"/>
              <w:left w:val="none" w:color="FFFFFF" w:sz="0"/>
              <w:bottom w:val="single" w:color="D5DBD6" w:sz="4"/>
              <w:right w:val="none" w:color="FFFFFF" w:sz="0"/>
            </w:tcBorders>
            <w:shd w:fill="1B2530" w:color="auto" w:val="clear"/>
            <w:tcMar>
              <w:top w:type="dxa" w:w="70"/>
              <w:left w:type="dxa" w:w="100"/>
              <w:bottom w:type="dxa" w:w="70"/>
              <w:right w:type="dxa" w:w="100"/>
            </w:tcMar>
            <w:vAlign w:val="top"/>
          </w:tcPr>
          <w:p>
            <w:pPr>
              <w:spacing w:after="0" w:line="260"/>
              <w:jc w:val="left"/>
            </w:pPr>
            <w:r>
              <w:rPr>
                <w:rFonts w:ascii="Calibri" w:cs="Calibri" w:eastAsia="Calibri" w:hAnsi="Calibri"/>
                <w:b/>
                <w:bCs/>
                <w:i w:val="false"/>
                <w:iCs w:val="false"/>
                <w:color w:val="FFFFFF"/>
                <w:sz w:val="18"/>
                <w:szCs w:val="18"/>
              </w:rPr>
              <w:t xml:space="preserve">Camera</w:t>
            </w:r>
          </w:p>
        </w:tc>
        <w:tc>
          <w:tcPr>
            <w:tcW w:type="dxa" w:w="5567"/>
            <w:tcBorders>
              <w:top w:val="single" w:color="D5DBD6" w:sz="4"/>
              <w:left w:val="none" w:color="FFFFFF" w:sz="0"/>
              <w:bottom w:val="single" w:color="D5DBD6" w:sz="4"/>
              <w:right w:val="none" w:color="FFFFFF" w:sz="0"/>
            </w:tcBorders>
            <w:shd w:fill="1B2530" w:color="auto" w:val="clear"/>
            <w:tcMar>
              <w:top w:type="dxa" w:w="70"/>
              <w:left w:type="dxa" w:w="100"/>
              <w:bottom w:type="dxa" w:w="70"/>
              <w:right w:type="dxa" w:w="100"/>
            </w:tcMar>
            <w:vAlign w:val="top"/>
          </w:tcPr>
          <w:p>
            <w:pPr>
              <w:spacing w:after="0" w:line="260"/>
              <w:jc w:val="left"/>
            </w:pPr>
            <w:r>
              <w:rPr>
                <w:rFonts w:ascii="Calibri" w:cs="Calibri" w:eastAsia="Calibri" w:hAnsi="Calibri"/>
                <w:b/>
                <w:bCs/>
                <w:i w:val="false"/>
                <w:iCs w:val="false"/>
                <w:color w:val="FFFFFF"/>
                <w:sz w:val="18"/>
                <w:szCs w:val="18"/>
              </w:rPr>
              <w:t xml:space="preserve">Rule</w:t>
            </w:r>
          </w:p>
        </w:tc>
      </w:tr>
      <w:tr>
        <w:trPr>
          <w:cantSplit/>
          <w:tblHeader w:val="false"/>
        </w:trPr>
        <w:tc>
          <w:tcPr>
            <w:tcW w:type="dxa" w:w="3027"/>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The Stage, studios, market floor, open market, parking programme</w:t>
            </w:r>
          </w:p>
        </w:tc>
        <w:tc>
          <w:tcPr>
            <w:tcW w:type="dxa" w:w="1486"/>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Permitted, encouraged</w:t>
            </w:r>
          </w:p>
        </w:tc>
        <w:tc>
          <w:tcPr>
            <w:tcW w:type="dxa" w:w="5567"/>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Posted at entry: filming takes place in this area. This is where live commerce earns.</w:t>
            </w:r>
          </w:p>
        </w:tc>
      </w:tr>
      <w:tr>
        <w:trPr>
          <w:cantSplit/>
          <w:tblHeader w:val="false"/>
        </w:trPr>
        <w:tc>
          <w:tcPr>
            <w:tcW w:type="dxa" w:w="3027"/>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Lounge, Arcade, mezzanine, Emeritus sessions</w:t>
            </w:r>
          </w:p>
        </w:tc>
        <w:tc>
          <w:tcPr>
            <w:tcW w:type="dxa" w:w="1486"/>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Prohibited without exception</w:t>
            </w:r>
          </w:p>
        </w:tc>
        <w:tc>
          <w:tcPr>
            <w:tcW w:type="dxa" w:w="5567"/>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No filming, streaming or photography of other members. Enforced by staff, attached to the place, never to the person.</w:t>
            </w:r>
          </w:p>
        </w:tc>
      </w:tr>
    </w:tbl>
    <w:p>
      <w:pPr>
        <w:spacing w:after="120"/>
      </w:pPr>
    </w:p>
    <w:p>
      <w:pPr>
        <w:pStyle w:val="Heading2"/>
      </w:pPr>
      <w:r>
        <w:rPr>
          <w:i w:val="false"/>
          <w:iCs w:val="false"/>
        </w:rPr>
        <w:t xml:space="preserve">4.7 Pricing framework </w:t>
      </w:r>
      <w:r>
        <w:rPr>
          <w:b/>
          <w:bCs/>
          <w:i w:val="false"/>
          <w:iCs w:val="false"/>
          <w:color w:val="8A5A12"/>
          <w:shd w:fill="F6ECD7" w:val="clear"/>
        </w:rPr>
        <w:t xml:space="preserve">[Council decides]</w:t>
      </w:r>
    </w:p>
    <w:p>
      <w:pPr>
        <w:spacing w:after="140" w:line="300"/>
      </w:pPr>
      <w:r>
        <w:rPr>
          <w:i w:val="false"/>
          <w:iCs w:val="false"/>
        </w:rPr>
        <w:t xml:space="preserve">The Master monthly price has not been set, and it is the input from which every other number in this position derives. The bands are anchored to what the US consumer already files as "a membership."</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210"/>
        <w:gridCol w:w="1465"/>
        <w:gridCol w:w="1797"/>
        <w:gridCol w:w="5608"/>
      </w:tblGrid>
      <w:tr>
        <w:trPr>
          <w:cantSplit/>
          <w:tblHeader/>
        </w:trPr>
        <w:tc>
          <w:tcPr>
            <w:tcW w:type="dxa" w:w="1210"/>
            <w:tcBorders>
              <w:top w:val="single" w:color="D5DBD6" w:sz="4"/>
              <w:left w:val="none" w:color="FFFFFF" w:sz="0"/>
              <w:bottom w:val="single" w:color="D5DBD6" w:sz="4"/>
              <w:right w:val="none" w:color="FFFFFF" w:sz="0"/>
            </w:tcBorders>
            <w:shd w:fill="1B2530" w:color="auto" w:val="clear"/>
            <w:tcMar>
              <w:top w:type="dxa" w:w="70"/>
              <w:left w:type="dxa" w:w="100"/>
              <w:bottom w:type="dxa" w:w="70"/>
              <w:right w:type="dxa" w:w="100"/>
            </w:tcMar>
            <w:vAlign w:val="top"/>
          </w:tcPr>
          <w:p>
            <w:pPr>
              <w:spacing w:after="0" w:line="260"/>
              <w:jc w:val="left"/>
            </w:pPr>
            <w:r>
              <w:rPr>
                <w:rFonts w:ascii="Calibri" w:cs="Calibri" w:eastAsia="Calibri" w:hAnsi="Calibri"/>
                <w:b/>
                <w:bCs/>
                <w:i w:val="false"/>
                <w:iCs w:val="false"/>
                <w:color w:val="FFFFFF"/>
                <w:sz w:val="18"/>
                <w:szCs w:val="18"/>
              </w:rPr>
              <w:t xml:space="preserve">Tier</w:t>
            </w:r>
          </w:p>
        </w:tc>
        <w:tc>
          <w:tcPr>
            <w:tcW w:type="dxa" w:w="1465"/>
            <w:tcBorders>
              <w:top w:val="single" w:color="D5DBD6" w:sz="4"/>
              <w:left w:val="none" w:color="FFFFFF" w:sz="0"/>
              <w:bottom w:val="single" w:color="D5DBD6" w:sz="4"/>
              <w:right w:val="none" w:color="FFFFFF" w:sz="0"/>
            </w:tcBorders>
            <w:shd w:fill="1B2530" w:color="auto" w:val="clear"/>
            <w:tcMar>
              <w:top w:type="dxa" w:w="70"/>
              <w:left w:type="dxa" w:w="100"/>
              <w:bottom w:type="dxa" w:w="70"/>
              <w:right w:type="dxa" w:w="100"/>
            </w:tcMar>
            <w:vAlign w:val="top"/>
          </w:tcPr>
          <w:p>
            <w:pPr>
              <w:spacing w:after="0" w:line="260"/>
              <w:jc w:val="left"/>
            </w:pPr>
            <w:r>
              <w:rPr>
                <w:rFonts w:ascii="Calibri" w:cs="Calibri" w:eastAsia="Calibri" w:hAnsi="Calibri"/>
                <w:b/>
                <w:bCs/>
                <w:i w:val="false"/>
                <w:iCs w:val="false"/>
                <w:color w:val="FFFFFF"/>
                <w:sz w:val="18"/>
                <w:szCs w:val="18"/>
              </w:rPr>
              <w:t xml:space="preserve">Indicative band</w:t>
            </w:r>
          </w:p>
        </w:tc>
        <w:tc>
          <w:tcPr>
            <w:tcW w:type="dxa" w:w="1797"/>
            <w:tcBorders>
              <w:top w:val="single" w:color="D5DBD6" w:sz="4"/>
              <w:left w:val="none" w:color="FFFFFF" w:sz="0"/>
              <w:bottom w:val="single" w:color="D5DBD6" w:sz="4"/>
              <w:right w:val="none" w:color="FFFFFF" w:sz="0"/>
            </w:tcBorders>
            <w:shd w:fill="1B2530" w:color="auto" w:val="clear"/>
            <w:tcMar>
              <w:top w:type="dxa" w:w="70"/>
              <w:left w:type="dxa" w:w="100"/>
              <w:bottom w:type="dxa" w:w="70"/>
              <w:right w:type="dxa" w:w="100"/>
            </w:tcMar>
            <w:vAlign w:val="top"/>
          </w:tcPr>
          <w:p>
            <w:pPr>
              <w:spacing w:after="0" w:line="260"/>
              <w:jc w:val="left"/>
            </w:pPr>
            <w:r>
              <w:rPr>
                <w:rFonts w:ascii="Calibri" w:cs="Calibri" w:eastAsia="Calibri" w:hAnsi="Calibri"/>
                <w:b/>
                <w:bCs/>
                <w:i w:val="false"/>
                <w:iCs w:val="false"/>
                <w:color w:val="FFFFFF"/>
                <w:sz w:val="18"/>
                <w:szCs w:val="18"/>
              </w:rPr>
              <w:t xml:space="preserve">Anchor</w:t>
            </w:r>
          </w:p>
        </w:tc>
        <w:tc>
          <w:tcPr>
            <w:tcW w:type="dxa" w:w="5608"/>
            <w:tcBorders>
              <w:top w:val="single" w:color="D5DBD6" w:sz="4"/>
              <w:left w:val="none" w:color="FFFFFF" w:sz="0"/>
              <w:bottom w:val="single" w:color="D5DBD6" w:sz="4"/>
              <w:right w:val="none" w:color="FFFFFF" w:sz="0"/>
            </w:tcBorders>
            <w:shd w:fill="1B2530" w:color="auto" w:val="clear"/>
            <w:tcMar>
              <w:top w:type="dxa" w:w="70"/>
              <w:left w:type="dxa" w:w="100"/>
              <w:bottom w:type="dxa" w:w="70"/>
              <w:right w:type="dxa" w:w="100"/>
            </w:tcMar>
            <w:vAlign w:val="top"/>
          </w:tcPr>
          <w:p>
            <w:pPr>
              <w:spacing w:after="0" w:line="260"/>
              <w:jc w:val="left"/>
            </w:pPr>
            <w:r>
              <w:rPr>
                <w:rFonts w:ascii="Calibri" w:cs="Calibri" w:eastAsia="Calibri" w:hAnsi="Calibri"/>
                <w:b/>
                <w:bCs/>
                <w:i w:val="false"/>
                <w:iCs w:val="false"/>
                <w:color w:val="FFFFFF"/>
                <w:sz w:val="18"/>
                <w:szCs w:val="18"/>
              </w:rPr>
              <w:t xml:space="preserve">Reasoning</w:t>
            </w:r>
          </w:p>
        </w:tc>
      </w:tr>
      <w:tr>
        <w:trPr>
          <w:cantSplit/>
          <w:tblHeader w:val="false"/>
        </w:trPr>
        <w:tc>
          <w:tcPr>
            <w:tcW w:type="dxa" w:w="121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Master</w:t>
            </w:r>
          </w:p>
        </w:tc>
        <w:tc>
          <w:tcPr>
            <w:tcW w:type="dxa" w:w="1465"/>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$15–25 / month</w:t>
            </w:r>
          </w:p>
        </w:tc>
        <w:tc>
          <w:tcPr>
            <w:tcW w:type="dxa" w:w="1797"/>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Costco Executive $130/yr; Amazon Prime $139/yr</w:t>
            </w:r>
          </w:p>
        </w:tc>
        <w:tc>
          <w:tcPr>
            <w:tcW w:type="dxa" w:w="5608"/>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A traffic instrument, not a profit centre; price to maximise conversion, not yield</w:t>
            </w:r>
          </w:p>
        </w:tc>
      </w:tr>
      <w:tr>
        <w:trPr>
          <w:cantSplit/>
          <w:tblHeader w:val="false"/>
        </w:trPr>
        <w:tc>
          <w:tcPr>
            <w:tcW w:type="dxa" w:w="1210"/>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Arcade</w:t>
            </w:r>
          </w:p>
        </w:tc>
        <w:tc>
          <w:tcPr>
            <w:tcW w:type="dxa" w:w="1465"/>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$110–150 / month, Master included</w:t>
            </w:r>
          </w:p>
        </w:tc>
        <w:tc>
          <w:tcPr>
            <w:tcW w:type="dxa" w:w="1797"/>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National coworking median $225/month — not Industrious</w:t>
            </w:r>
          </w:p>
        </w:tc>
        <w:tc>
          <w:tcPr>
            <w:tcW w:type="dxa" w:w="5608"/>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Industrious sells quiet; Atmosphere sells noise. Half of the market median is defensible; half of a specific competitor's price is not. Treat the result as a floor, since the seat carries matching and programming the median seat does not</w:t>
            </w:r>
          </w:p>
        </w:tc>
      </w:tr>
      <w:tr>
        <w:trPr>
          <w:cantSplit/>
          <w:tblHeader w:val="false"/>
        </w:trPr>
        <w:tc>
          <w:tcPr>
            <w:tcW w:type="dxa" w:w="121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Emeritus</w:t>
            </w:r>
          </w:p>
        </w:tc>
        <w:tc>
          <w:tcPr>
            <w:tcW w:type="dxa" w:w="1465"/>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50% of Master</w:t>
            </w:r>
          </w:p>
        </w:tc>
        <w:tc>
          <w:tcPr>
            <w:tcW w:type="dxa" w:w="1797"/>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Internal</w:t>
            </w:r>
          </w:p>
        </w:tc>
        <w:tc>
          <w:tcPr>
            <w:tcW w:type="dxa" w:w="5608"/>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Funded by Trader and Corporate; never zero</w:t>
            </w:r>
          </w:p>
        </w:tc>
      </w:tr>
      <w:tr>
        <w:trPr>
          <w:cantSplit/>
          <w:tblHeader w:val="false"/>
        </w:trPr>
        <w:tc>
          <w:tcPr>
            <w:tcW w:type="dxa" w:w="1210"/>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Trader</w:t>
            </w:r>
          </w:p>
        </w:tc>
        <w:tc>
          <w:tcPr>
            <w:tcW w:type="dxa" w:w="1465"/>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Included in position fee</w:t>
            </w:r>
          </w:p>
        </w:tc>
        <w:tc>
          <w:tcPr>
            <w:tcW w:type="dxa" w:w="1797"/>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Warehouse-club level, notional</w:t>
            </w:r>
          </w:p>
        </w:tc>
        <w:tc>
          <w:tcPr>
            <w:tcW w:type="dxa" w:w="5608"/>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Register entry, not a revenue line</w:t>
            </w:r>
          </w:p>
        </w:tc>
      </w:tr>
      <w:tr>
        <w:trPr>
          <w:cantSplit/>
          <w:tblHeader w:val="false"/>
        </w:trPr>
        <w:tc>
          <w:tcPr>
            <w:tcW w:type="dxa" w:w="121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Corporate</w:t>
            </w:r>
          </w:p>
        </w:tc>
        <w:tc>
          <w:tcPr>
            <w:tcW w:type="dxa" w:w="1465"/>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Annual, per seat</w:t>
            </w:r>
          </w:p>
        </w:tc>
        <w:tc>
          <w:tcPr>
            <w:tcW w:type="dxa" w:w="1797"/>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Demo market $35–600 / day</w:t>
            </w:r>
          </w:p>
        </w:tc>
        <w:tc>
          <w:tcPr>
            <w:tcW w:type="dxa" w:w="5608"/>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The only tier priced on willingness to pay rather than on access</w:t>
            </w:r>
          </w:p>
        </w:tc>
      </w:tr>
    </w:tbl>
    <w:p>
      <w:pPr>
        <w:spacing w:after="120"/>
      </w:pPr>
    </w:p>
    <w:p>
      <w:pPr>
        <w:pStyle w:val="Heading2"/>
      </w:pPr>
      <w:r>
        <w:rPr>
          <w:i w:val="false"/>
          <w:iCs w:val="false"/>
        </w:rPr>
        <w:t xml:space="preserve">4.8 Four red lines</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300"/>
        <w:gridCol w:w="8780"/>
      </w:tblGrid>
      <w:tr>
        <w:trPr>
          <w:cantSplit/>
          <w:tblHeader/>
        </w:trPr>
        <w:tc>
          <w:tcPr>
            <w:tcW w:type="dxa" w:w="1300"/>
            <w:tcBorders>
              <w:top w:val="single" w:color="D5DBD6" w:sz="4"/>
              <w:left w:val="none" w:color="FFFFFF" w:sz="0"/>
              <w:bottom w:val="single" w:color="D5DBD6" w:sz="4"/>
              <w:right w:val="none" w:color="FFFFFF" w:sz="0"/>
            </w:tcBorders>
            <w:shd w:fill="1B2530" w:color="auto" w:val="clear"/>
            <w:tcMar>
              <w:top w:type="dxa" w:w="70"/>
              <w:left w:type="dxa" w:w="100"/>
              <w:bottom w:type="dxa" w:w="70"/>
              <w:right w:type="dxa" w:w="100"/>
            </w:tcMar>
            <w:vAlign w:val="top"/>
          </w:tcPr>
          <w:p>
            <w:pPr>
              <w:spacing w:after="0" w:line="260"/>
              <w:jc w:val="left"/>
            </w:pPr>
            <w:r>
              <w:rPr>
                <w:rFonts w:ascii="Calibri" w:cs="Calibri" w:eastAsia="Calibri" w:hAnsi="Calibri"/>
                <w:b/>
                <w:bCs/>
                <w:i w:val="false"/>
                <w:iCs w:val="false"/>
                <w:color w:val="FFFFFF"/>
                <w:sz w:val="18"/>
                <w:szCs w:val="18"/>
              </w:rPr>
              <w:t xml:space="preserve">Line</w:t>
            </w:r>
          </w:p>
        </w:tc>
        <w:tc>
          <w:tcPr>
            <w:tcW w:type="dxa" w:w="8780"/>
            <w:tcBorders>
              <w:top w:val="single" w:color="D5DBD6" w:sz="4"/>
              <w:left w:val="none" w:color="FFFFFF" w:sz="0"/>
              <w:bottom w:val="single" w:color="D5DBD6" w:sz="4"/>
              <w:right w:val="none" w:color="FFFFFF" w:sz="0"/>
            </w:tcBorders>
            <w:shd w:fill="1B2530" w:color="auto" w:val="clear"/>
            <w:tcMar>
              <w:top w:type="dxa" w:w="70"/>
              <w:left w:type="dxa" w:w="100"/>
              <w:bottom w:type="dxa" w:w="70"/>
              <w:right w:type="dxa" w:w="100"/>
            </w:tcMar>
            <w:vAlign w:val="top"/>
          </w:tcPr>
          <w:p>
            <w:pPr>
              <w:spacing w:after="0" w:line="260"/>
              <w:jc w:val="left"/>
            </w:pPr>
            <w:r>
              <w:rPr>
                <w:rFonts w:ascii="Calibri" w:cs="Calibri" w:eastAsia="Calibri" w:hAnsi="Calibri"/>
                <w:b/>
                <w:bCs/>
                <w:i w:val="false"/>
                <w:iCs w:val="false"/>
                <w:color w:val="FFFFFF"/>
                <w:sz w:val="18"/>
                <w:szCs w:val="18"/>
              </w:rPr>
              <w:t xml:space="preserve">Rule</w:t>
            </w:r>
          </w:p>
        </w:tc>
      </w:tr>
      <w:tr>
        <w:trPr>
          <w:cantSplit/>
          <w:tblHeader w:val="false"/>
        </w:trPr>
        <w:tc>
          <w:tcPr>
            <w:tcW w:type="dxa" w:w="130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Liability of counsel</w:t>
            </w:r>
          </w:p>
        </w:tc>
        <w:tc>
          <w:tcPr>
            <w:tcW w:type="dxa" w:w="878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Guidance from an Emeritus member is personal opinion, not a service rendered by Atmosphere. Structural, electrical, gas, tax and medical subjects require a written referral to a licensed professional. Membership terms must carry this; it is existential.</w:t>
            </w:r>
          </w:p>
        </w:tc>
      </w:tr>
      <w:tr>
        <w:trPr>
          <w:cantSplit/>
          <w:tblHeader w:val="false"/>
        </w:trPr>
        <w:tc>
          <w:tcPr>
            <w:tcW w:type="dxa" w:w="1300"/>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Camera zoning</w:t>
            </w:r>
          </w:p>
        </w:tc>
        <w:tc>
          <w:tcPr>
            <w:tcW w:type="dxa" w:w="8780"/>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As in 4.6 — attached to the place, never to the person.</w:t>
            </w:r>
          </w:p>
        </w:tc>
      </w:tr>
      <w:tr>
        <w:trPr>
          <w:cantSplit/>
          <w:tblHeader w:val="false"/>
        </w:trPr>
        <w:tc>
          <w:tcPr>
            <w:tcW w:type="dxa" w:w="130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Silent matching</w:t>
            </w:r>
          </w:p>
        </w:tc>
        <w:tc>
          <w:tcPr>
            <w:tcW w:type="dxa" w:w="878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No public display of interest counts, attendance or popularity in any tier.</w:t>
            </w:r>
          </w:p>
        </w:tc>
      </w:tr>
      <w:tr>
        <w:trPr>
          <w:cantSplit/>
          <w:tblHeader w:val="false"/>
        </w:trPr>
        <w:tc>
          <w:tcPr>
            <w:tcW w:type="dxa" w:w="1300"/>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Pause, not cancel</w:t>
            </w:r>
          </w:p>
        </w:tc>
        <w:tc>
          <w:tcPr>
            <w:tcW w:type="dxa" w:w="8780"/>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Every tier offers a freeze at nil or nominal cost. About 40% of Gen Z cancel and resubscribe within six months; a freeze converts loss into interruption.</w:t>
            </w:r>
          </w:p>
        </w:tc>
      </w:tr>
    </w:tbl>
    <w:p>
      <w:pPr>
        <w:spacing w:after="120"/>
      </w:pPr>
    </w:p>
    <w:p>
      <w:pPr>
        <w:spacing w:after="140" w:line="300"/>
      </w:pPr>
      <w:r>
        <w:rPr>
          <w:i w:val="false"/>
          <w:iCs w:val="false"/>
        </w:rPr>
        <w:t xml:space="preserve">One further caution: unsupervised gym equipment on a lounge floor is an insurance question before it is an amenity and produces a user who never crosses the market floor. Free access is retained as a supervised, programmed offer within Arcade hours.</w:t>
      </w:r>
    </w:p>
    <w:p>
      <w:pPr>
        <w:pStyle w:val="Heading2"/>
      </w:pPr>
      <w:r>
        <w:rPr>
          <w:i w:val="false"/>
          <w:iCs w:val="false"/>
        </w:rPr>
        <w:t xml:space="preserve">4.9 Membership health dashboard</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2151"/>
        <w:gridCol w:w="4337"/>
        <w:gridCol w:w="3592"/>
      </w:tblGrid>
      <w:tr>
        <w:trPr>
          <w:cantSplit/>
          <w:tblHeader/>
        </w:trPr>
        <w:tc>
          <w:tcPr>
            <w:tcW w:type="dxa" w:w="2151"/>
            <w:tcBorders>
              <w:top w:val="single" w:color="D5DBD6" w:sz="4"/>
              <w:left w:val="none" w:color="FFFFFF" w:sz="0"/>
              <w:bottom w:val="single" w:color="D5DBD6" w:sz="4"/>
              <w:right w:val="none" w:color="FFFFFF" w:sz="0"/>
            </w:tcBorders>
            <w:shd w:fill="1B2530" w:color="auto" w:val="clear"/>
            <w:tcMar>
              <w:top w:type="dxa" w:w="70"/>
              <w:left w:type="dxa" w:w="100"/>
              <w:bottom w:type="dxa" w:w="70"/>
              <w:right w:type="dxa" w:w="100"/>
            </w:tcMar>
            <w:vAlign w:val="top"/>
          </w:tcPr>
          <w:p>
            <w:pPr>
              <w:spacing w:after="0" w:line="260"/>
              <w:jc w:val="left"/>
            </w:pPr>
            <w:r>
              <w:rPr>
                <w:rFonts w:ascii="Calibri" w:cs="Calibri" w:eastAsia="Calibri" w:hAnsi="Calibri"/>
                <w:b/>
                <w:bCs/>
                <w:i w:val="false"/>
                <w:iCs w:val="false"/>
                <w:color w:val="FFFFFF"/>
                <w:sz w:val="18"/>
                <w:szCs w:val="18"/>
              </w:rPr>
              <w:t xml:space="preserve">Indicator</w:t>
            </w:r>
          </w:p>
        </w:tc>
        <w:tc>
          <w:tcPr>
            <w:tcW w:type="dxa" w:w="4337"/>
            <w:tcBorders>
              <w:top w:val="single" w:color="D5DBD6" w:sz="4"/>
              <w:left w:val="none" w:color="FFFFFF" w:sz="0"/>
              <w:bottom w:val="single" w:color="D5DBD6" w:sz="4"/>
              <w:right w:val="none" w:color="FFFFFF" w:sz="0"/>
            </w:tcBorders>
            <w:shd w:fill="1B2530" w:color="auto" w:val="clear"/>
            <w:tcMar>
              <w:top w:type="dxa" w:w="70"/>
              <w:left w:type="dxa" w:w="100"/>
              <w:bottom w:type="dxa" w:w="70"/>
              <w:right w:type="dxa" w:w="100"/>
            </w:tcMar>
            <w:vAlign w:val="top"/>
          </w:tcPr>
          <w:p>
            <w:pPr>
              <w:spacing w:after="0" w:line="260"/>
              <w:jc w:val="left"/>
            </w:pPr>
            <w:r>
              <w:rPr>
                <w:rFonts w:ascii="Calibri" w:cs="Calibri" w:eastAsia="Calibri" w:hAnsi="Calibri"/>
                <w:b/>
                <w:bCs/>
                <w:i w:val="false"/>
                <w:iCs w:val="false"/>
                <w:color w:val="FFFFFF"/>
                <w:sz w:val="18"/>
                <w:szCs w:val="18"/>
              </w:rPr>
              <w:t xml:space="preserve">Definition</w:t>
            </w:r>
          </w:p>
        </w:tc>
        <w:tc>
          <w:tcPr>
            <w:tcW w:type="dxa" w:w="3592"/>
            <w:tcBorders>
              <w:top w:val="single" w:color="D5DBD6" w:sz="4"/>
              <w:left w:val="none" w:color="FFFFFF" w:sz="0"/>
              <w:bottom w:val="single" w:color="D5DBD6" w:sz="4"/>
              <w:right w:val="none" w:color="FFFFFF" w:sz="0"/>
            </w:tcBorders>
            <w:shd w:fill="1B2530" w:color="auto" w:val="clear"/>
            <w:tcMar>
              <w:top w:type="dxa" w:w="70"/>
              <w:left w:type="dxa" w:w="100"/>
              <w:bottom w:type="dxa" w:w="70"/>
              <w:right w:type="dxa" w:w="100"/>
            </w:tcMar>
            <w:vAlign w:val="top"/>
          </w:tcPr>
          <w:p>
            <w:pPr>
              <w:spacing w:after="0" w:line="260"/>
              <w:jc w:val="left"/>
            </w:pPr>
            <w:r>
              <w:rPr>
                <w:rFonts w:ascii="Calibri" w:cs="Calibri" w:eastAsia="Calibri" w:hAnsi="Calibri"/>
                <w:b/>
                <w:bCs/>
                <w:i w:val="false"/>
                <w:iCs w:val="false"/>
                <w:color w:val="FFFFFF"/>
                <w:sz w:val="18"/>
                <w:szCs w:val="18"/>
              </w:rPr>
              <w:t xml:space="preserve">Benchmark / target</w:t>
            </w:r>
          </w:p>
        </w:tc>
      </w:tr>
      <w:tr>
        <w:trPr>
          <w:cantSplit/>
          <w:tblHeader w:val="false"/>
        </w:trPr>
        <w:tc>
          <w:tcPr>
            <w:tcW w:type="dxa" w:w="2151"/>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Guest → Master conversion</w:t>
            </w:r>
          </w:p>
        </w:tc>
        <w:tc>
          <w:tcPr>
            <w:tcW w:type="dxa" w:w="4337"/>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Registered visitors becoming paying members</w:t>
            </w:r>
          </w:p>
        </w:tc>
        <w:tc>
          <w:tcPr>
            <w:tcW w:type="dxa" w:w="3592"/>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The single most sensitive input in the floor model — set explicitly, review monthly</w:t>
            </w:r>
          </w:p>
        </w:tc>
      </w:tr>
      <w:tr>
        <w:trPr>
          <w:cantSplit/>
          <w:tblHeader w:val="false"/>
        </w:trPr>
        <w:tc>
          <w:tcPr>
            <w:tcW w:type="dxa" w:w="2151"/>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Tenured renewal</w:t>
            </w:r>
          </w:p>
        </w:tc>
        <w:tc>
          <w:tcPr>
            <w:tcW w:type="dxa" w:w="4337"/>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Renewal among members past their first year</w:t>
            </w:r>
          </w:p>
        </w:tc>
        <w:tc>
          <w:tcPr>
            <w:tcW w:type="dxa" w:w="3592"/>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 85% (Costco 92.3%; BJ's ~90%)</w:t>
            </w:r>
          </w:p>
        </w:tc>
      </w:tr>
      <w:tr>
        <w:trPr>
          <w:cantSplit/>
          <w:tblHeader w:val="false"/>
        </w:trPr>
        <w:tc>
          <w:tcPr>
            <w:tcW w:type="dxa" w:w="2151"/>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Visits per member per month</w:t>
            </w:r>
          </w:p>
        </w:tc>
        <w:tc>
          <w:tcPr>
            <w:tcW w:type="dxa" w:w="4337"/>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Total visits ÷ active members</w:t>
            </w:r>
          </w:p>
        </w:tc>
        <w:tc>
          <w:tcPr>
            <w:tcW w:type="dxa" w:w="3592"/>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 4 — the weekly-ritual threshold</w:t>
            </w:r>
          </w:p>
        </w:tc>
      </w:tr>
      <w:tr>
        <w:trPr>
          <w:cantSplit/>
          <w:tblHeader w:val="false"/>
        </w:trPr>
        <w:tc>
          <w:tcPr>
            <w:tcW w:type="dxa" w:w="2151"/>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90-day activation</w:t>
            </w:r>
          </w:p>
        </w:tc>
        <w:tc>
          <w:tcPr>
            <w:tcW w:type="dxa" w:w="4337"/>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New members making ≥ 6 visits in the first 90 days</w:t>
            </w:r>
          </w:p>
        </w:tc>
        <w:tc>
          <w:tcPr>
            <w:tcW w:type="dxa" w:w="3592"/>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 70%</w:t>
            </w:r>
          </w:p>
        </w:tc>
      </w:tr>
      <w:tr>
        <w:trPr>
          <w:cantSplit/>
          <w:tblHeader w:val="false"/>
        </w:trPr>
        <w:tc>
          <w:tcPr>
            <w:tcW w:type="dxa" w:w="2151"/>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Social tie ratio</w:t>
            </w:r>
          </w:p>
        </w:tc>
        <w:tc>
          <w:tcPr>
            <w:tcW w:type="dxa" w:w="4337"/>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Members who know at least three others by name</w:t>
            </w:r>
          </w:p>
        </w:tc>
        <w:tc>
          <w:tcPr>
            <w:tcW w:type="dxa" w:w="3592"/>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 60% — the strongest leading indicator of renewal</w:t>
            </w:r>
          </w:p>
        </w:tc>
      </w:tr>
      <w:tr>
        <w:trPr>
          <w:cantSplit/>
          <w:tblHeader w:val="false"/>
        </w:trPr>
        <w:tc>
          <w:tcPr>
            <w:tcW w:type="dxa" w:w="2151"/>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Non-dues revenue / dues</w:t>
            </w:r>
          </w:p>
        </w:tc>
        <w:tc>
          <w:tcPr>
            <w:tcW w:type="dxa" w:w="4337"/>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In-house spend relative to membership fee</w:t>
            </w:r>
          </w:p>
        </w:tc>
        <w:tc>
          <w:tcPr>
            <w:tcW w:type="dxa" w:w="3592"/>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1.5× – 3.0×</w:t>
            </w:r>
          </w:p>
        </w:tc>
      </w:tr>
      <w:tr>
        <w:trPr>
          <w:cantSplit/>
          <w:tblHeader w:val="false"/>
        </w:trPr>
        <w:tc>
          <w:tcPr>
            <w:tcW w:type="dxa" w:w="2151"/>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Referral share</w:t>
            </w:r>
          </w:p>
        </w:tc>
        <w:tc>
          <w:tcPr>
            <w:tcW w:type="dxa" w:w="4337"/>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New members arriving through existing members</w:t>
            </w:r>
          </w:p>
        </w:tc>
        <w:tc>
          <w:tcPr>
            <w:tcW w:type="dxa" w:w="3592"/>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 40%</w:t>
            </w:r>
          </w:p>
        </w:tc>
      </w:tr>
      <w:tr>
        <w:trPr>
          <w:cantSplit/>
          <w:tblHeader w:val="false"/>
        </w:trPr>
        <w:tc>
          <w:tcPr>
            <w:tcW w:type="dxa" w:w="2151"/>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Emeritus session fill</w:t>
            </w:r>
          </w:p>
        </w:tc>
        <w:tc>
          <w:tcPr>
            <w:tcW w:type="dxa" w:w="4337"/>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Sessions attended by at least three members</w:t>
            </w:r>
          </w:p>
        </w:tc>
        <w:tc>
          <w:tcPr>
            <w:tcW w:type="dxa" w:w="3592"/>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 80% — measured privately, never displayed</w:t>
            </w:r>
          </w:p>
        </w:tc>
      </w:tr>
      <w:tr>
        <w:trPr>
          <w:cantSplit/>
          <w:tblHeader w:val="false"/>
        </w:trPr>
        <w:tc>
          <w:tcPr>
            <w:tcW w:type="dxa" w:w="2151"/>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Young cohort churn</w:t>
            </w:r>
          </w:p>
        </w:tc>
        <w:tc>
          <w:tcPr>
            <w:tcW w:type="dxa" w:w="4337"/>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Annual loss, ages 18–24</w:t>
            </w:r>
          </w:p>
        </w:tc>
        <w:tc>
          <w:tcPr>
            <w:tcW w:type="dxa" w:w="3592"/>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&lt; 40% (industry average 54.4%)</w:t>
            </w:r>
          </w:p>
        </w:tc>
      </w:tr>
    </w:tbl>
    <w:p>
      <w:pPr>
        <w:spacing w:after="120"/>
      </w:pPr>
    </w:p>
    <w:p>
      <w:r>
        <w:br w:type="page"/>
      </w:r>
    </w:p>
    <w:p>
      <w:pPr>
        <w:pStyle w:val="Heading1"/>
      </w:pPr>
      <w:r>
        <w:rPr>
          <w:color w:val="0F5F5C"/>
        </w:rPr>
        <w:t xml:space="preserve">5 </w:t>
      </w:r>
      <w:r>
        <w:t xml:space="preserve">Business model and unit economics</w:t>
      </w:r>
    </w:p>
    <w:p>
      <w:pPr>
        <w:pStyle w:val="Heading2"/>
      </w:pPr>
      <w:r>
        <w:rPr>
          <w:i w:val="false"/>
          <w:iCs w:val="false"/>
        </w:rPr>
        <w:t xml:space="preserve">5.1 Reference floor — 200,000 sqft, operating income vs rent (founders' case)</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4303"/>
        <w:gridCol w:w="1426"/>
        <w:gridCol w:w="1426"/>
        <w:gridCol w:w="1426"/>
        <w:gridCol w:w="1499"/>
      </w:tblGrid>
      <w:tr>
        <w:trPr>
          <w:cantSplit/>
          <w:tblHeader/>
        </w:trPr>
        <w:tc>
          <w:tcPr>
            <w:tcW w:type="dxa" w:w="4303"/>
            <w:tcBorders>
              <w:top w:val="single" w:color="D5DBD6" w:sz="4"/>
              <w:left w:val="none" w:color="FFFFFF" w:sz="0"/>
              <w:bottom w:val="single" w:color="D5DBD6" w:sz="4"/>
              <w:right w:val="none" w:color="FFFFFF" w:sz="0"/>
            </w:tcBorders>
            <w:shd w:fill="1B2530" w:color="auto" w:val="clear"/>
            <w:tcMar>
              <w:top w:type="dxa" w:w="70"/>
              <w:left w:type="dxa" w:w="100"/>
              <w:bottom w:type="dxa" w:w="70"/>
              <w:right w:type="dxa" w:w="100"/>
            </w:tcMar>
            <w:vAlign w:val="top"/>
          </w:tcPr>
          <w:p>
            <w:pPr>
              <w:spacing w:after="0" w:line="260"/>
              <w:jc w:val="left"/>
            </w:pPr>
            <w:r>
              <w:rPr>
                <w:rFonts w:ascii="Calibri" w:cs="Calibri" w:eastAsia="Calibri" w:hAnsi="Calibri"/>
                <w:b/>
                <w:bCs/>
                <w:i w:val="false"/>
                <w:iCs w:val="false"/>
                <w:color w:val="FFFFFF"/>
                <w:sz w:val="18"/>
                <w:szCs w:val="18"/>
              </w:rPr>
              <w:t xml:space="preserve">Revenue layer</w:t>
            </w:r>
          </w:p>
        </w:tc>
        <w:tc>
          <w:tcPr>
            <w:tcW w:type="dxa" w:w="1426"/>
            <w:tcBorders>
              <w:top w:val="single" w:color="D5DBD6" w:sz="4"/>
              <w:left w:val="none" w:color="FFFFFF" w:sz="0"/>
              <w:bottom w:val="single" w:color="D5DBD6" w:sz="4"/>
              <w:right w:val="none" w:color="FFFFFF" w:sz="0"/>
            </w:tcBorders>
            <w:shd w:fill="1B2530" w:color="auto" w:val="clear"/>
            <w:tcMar>
              <w:top w:type="dxa" w:w="70"/>
              <w:left w:type="dxa" w:w="100"/>
              <w:bottom w:type="dxa" w:w="70"/>
              <w:right w:type="dxa" w:w="100"/>
            </w:tcMar>
            <w:vAlign w:val="top"/>
          </w:tcPr>
          <w:p>
            <w:pPr>
              <w:spacing w:after="0" w:line="260"/>
              <w:jc w:val="right"/>
            </w:pPr>
            <w:r>
              <w:rPr>
                <w:rFonts w:ascii="Calibri" w:cs="Calibri" w:eastAsia="Calibri" w:hAnsi="Calibri"/>
                <w:b/>
                <w:bCs/>
                <w:i w:val="false"/>
                <w:iCs w:val="false"/>
                <w:color w:val="FFFFFF"/>
                <w:sz w:val="18"/>
                <w:szCs w:val="18"/>
              </w:rPr>
              <w:t xml:space="preserve">$/sqft/yr</w:t>
            </w:r>
          </w:p>
        </w:tc>
        <w:tc>
          <w:tcPr>
            <w:tcW w:type="dxa" w:w="1426"/>
            <w:tcBorders>
              <w:top w:val="single" w:color="D5DBD6" w:sz="4"/>
              <w:left w:val="none" w:color="FFFFFF" w:sz="0"/>
              <w:bottom w:val="single" w:color="D5DBD6" w:sz="4"/>
              <w:right w:val="none" w:color="FFFFFF" w:sz="0"/>
            </w:tcBorders>
            <w:shd w:fill="1B2530" w:color="auto" w:val="clear"/>
            <w:tcMar>
              <w:top w:type="dxa" w:w="70"/>
              <w:left w:type="dxa" w:w="100"/>
              <w:bottom w:type="dxa" w:w="70"/>
              <w:right w:type="dxa" w:w="100"/>
            </w:tcMar>
            <w:vAlign w:val="top"/>
          </w:tcPr>
          <w:p>
            <w:pPr>
              <w:spacing w:after="0" w:line="260"/>
              <w:jc w:val="right"/>
            </w:pPr>
            <w:r>
              <w:rPr>
                <w:rFonts w:ascii="Calibri" w:cs="Calibri" w:eastAsia="Calibri" w:hAnsi="Calibri"/>
                <w:b/>
                <w:bCs/>
                <w:i w:val="false"/>
                <w:iCs w:val="false"/>
                <w:color w:val="FFFFFF"/>
                <w:sz w:val="18"/>
                <w:szCs w:val="18"/>
              </w:rPr>
              <w:t xml:space="preserve">Annual</w:t>
            </w:r>
          </w:p>
        </w:tc>
        <w:tc>
          <w:tcPr>
            <w:tcW w:type="dxa" w:w="1426"/>
            <w:tcBorders>
              <w:top w:val="single" w:color="D5DBD6" w:sz="4"/>
              <w:left w:val="none" w:color="FFFFFF" w:sz="0"/>
              <w:bottom w:val="single" w:color="D5DBD6" w:sz="4"/>
              <w:right w:val="none" w:color="FFFFFF" w:sz="0"/>
            </w:tcBorders>
            <w:shd w:fill="1B2530" w:color="auto" w:val="clear"/>
            <w:tcMar>
              <w:top w:type="dxa" w:w="70"/>
              <w:left w:type="dxa" w:w="100"/>
              <w:bottom w:type="dxa" w:w="70"/>
              <w:right w:type="dxa" w:w="100"/>
            </w:tcMar>
            <w:vAlign w:val="top"/>
          </w:tcPr>
          <w:p>
            <w:pPr>
              <w:spacing w:after="0" w:line="260"/>
              <w:jc w:val="right"/>
            </w:pPr>
            <w:r>
              <w:rPr>
                <w:rFonts w:ascii="Calibri" w:cs="Calibri" w:eastAsia="Calibri" w:hAnsi="Calibri"/>
                <w:b/>
                <w:bCs/>
                <w:i w:val="false"/>
                <w:iCs w:val="false"/>
                <w:color w:val="FFFFFF"/>
                <w:sz w:val="18"/>
                <w:szCs w:val="18"/>
              </w:rPr>
              <w:t xml:space="preserve">Cost of delivery</w:t>
            </w:r>
          </w:p>
        </w:tc>
        <w:tc>
          <w:tcPr>
            <w:tcW w:type="dxa" w:w="1499"/>
            <w:tcBorders>
              <w:top w:val="single" w:color="D5DBD6" w:sz="4"/>
              <w:left w:val="none" w:color="FFFFFF" w:sz="0"/>
              <w:bottom w:val="single" w:color="D5DBD6" w:sz="4"/>
              <w:right w:val="none" w:color="FFFFFF" w:sz="0"/>
            </w:tcBorders>
            <w:shd w:fill="1B2530" w:color="auto" w:val="clear"/>
            <w:tcMar>
              <w:top w:type="dxa" w:w="70"/>
              <w:left w:type="dxa" w:w="100"/>
              <w:bottom w:type="dxa" w:w="70"/>
              <w:right w:type="dxa" w:w="100"/>
            </w:tcMar>
            <w:vAlign w:val="top"/>
          </w:tcPr>
          <w:p>
            <w:pPr>
              <w:spacing w:after="0" w:line="260"/>
              <w:jc w:val="right"/>
            </w:pPr>
            <w:r>
              <w:rPr>
                <w:rFonts w:ascii="Calibri" w:cs="Calibri" w:eastAsia="Calibri" w:hAnsi="Calibri"/>
                <w:b/>
                <w:bCs/>
                <w:i w:val="false"/>
                <w:iCs w:val="false"/>
                <w:color w:val="FFFFFF"/>
                <w:sz w:val="18"/>
                <w:szCs w:val="18"/>
              </w:rPr>
              <w:t xml:space="preserve">Net</w:t>
            </w:r>
          </w:p>
        </w:tc>
      </w:tr>
      <w:tr>
        <w:trPr>
          <w:cantSplit/>
          <w:tblHeader w:val="false"/>
        </w:trPr>
        <w:tc>
          <w:tcPr>
            <w:tcW w:type="dxa" w:w="4303"/>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Modular space + turnover</w:t>
            </w:r>
          </w:p>
        </w:tc>
        <w:tc>
          <w:tcPr>
            <w:tcW w:type="dxa" w:w="1426"/>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right"/>
            </w:pPr>
            <w:r>
              <w:rPr>
                <w:rFonts w:ascii="Calibri" w:cs="Calibri" w:eastAsia="Calibri" w:hAnsi="Calibri"/>
                <w:b w:val="false"/>
                <w:bCs w:val="false"/>
                <w:i w:val="false"/>
                <w:iCs w:val="false"/>
                <w:color w:val="1B2530"/>
                <w:sz w:val="18"/>
                <w:szCs w:val="18"/>
              </w:rPr>
              <w:t xml:space="preserve">~$22</w:t>
            </w:r>
          </w:p>
        </w:tc>
        <w:tc>
          <w:tcPr>
            <w:tcW w:type="dxa" w:w="1426"/>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right"/>
            </w:pPr>
            <w:r>
              <w:rPr>
                <w:rFonts w:ascii="Calibri" w:cs="Calibri" w:eastAsia="Calibri" w:hAnsi="Calibri"/>
                <w:b w:val="false"/>
                <w:bCs w:val="false"/>
                <w:i w:val="false"/>
                <w:iCs w:val="false"/>
                <w:color w:val="1B2530"/>
                <w:sz w:val="18"/>
                <w:szCs w:val="18"/>
              </w:rPr>
              <w:t xml:space="preserve">~$4.4M</w:t>
            </w:r>
          </w:p>
        </w:tc>
        <w:tc>
          <w:tcPr>
            <w:tcW w:type="dxa" w:w="1426"/>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right"/>
            </w:pPr>
            <w:r>
              <w:rPr>
                <w:rFonts w:ascii="Calibri" w:cs="Calibri" w:eastAsia="Calibri" w:hAnsi="Calibri"/>
                <w:b w:val="false"/>
                <w:bCs w:val="false"/>
                <w:i w:val="false"/>
                <w:iCs w:val="false"/>
                <w:color w:val="1B2530"/>
                <w:sz w:val="18"/>
                <w:szCs w:val="18"/>
              </w:rPr>
              <w:t xml:space="preserve">~30%</w:t>
            </w:r>
          </w:p>
        </w:tc>
        <w:tc>
          <w:tcPr>
            <w:tcW w:type="dxa" w:w="1499"/>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right"/>
            </w:pPr>
            <w:r>
              <w:rPr>
                <w:rFonts w:ascii="Calibri" w:cs="Calibri" w:eastAsia="Calibri" w:hAnsi="Calibri"/>
                <w:b w:val="false"/>
                <w:bCs w:val="false"/>
                <w:i w:val="false"/>
                <w:iCs w:val="false"/>
                <w:color w:val="1B2530"/>
                <w:sz w:val="18"/>
                <w:szCs w:val="18"/>
              </w:rPr>
              <w:t xml:space="preserve">~$3.1M</w:t>
            </w:r>
          </w:p>
        </w:tc>
      </w:tr>
      <w:tr>
        <w:trPr>
          <w:cantSplit/>
          <w:tblHeader w:val="false"/>
        </w:trPr>
        <w:tc>
          <w:tcPr>
            <w:tcW w:type="dxa" w:w="4303"/>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Back-of-house services</w:t>
            </w:r>
          </w:p>
        </w:tc>
        <w:tc>
          <w:tcPr>
            <w:tcW w:type="dxa" w:w="1426"/>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right"/>
            </w:pPr>
            <w:r>
              <w:rPr>
                <w:rFonts w:ascii="Calibri" w:cs="Calibri" w:eastAsia="Calibri" w:hAnsi="Calibri"/>
                <w:b w:val="false"/>
                <w:bCs w:val="false"/>
                <w:i w:val="false"/>
                <w:iCs w:val="false"/>
                <w:color w:val="1B2530"/>
                <w:sz w:val="18"/>
                <w:szCs w:val="18"/>
              </w:rPr>
              <w:t xml:space="preserve">~$9</w:t>
            </w:r>
          </w:p>
        </w:tc>
        <w:tc>
          <w:tcPr>
            <w:tcW w:type="dxa" w:w="1426"/>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right"/>
            </w:pPr>
            <w:r>
              <w:rPr>
                <w:rFonts w:ascii="Calibri" w:cs="Calibri" w:eastAsia="Calibri" w:hAnsi="Calibri"/>
                <w:b w:val="false"/>
                <w:bCs w:val="false"/>
                <w:i w:val="false"/>
                <w:iCs w:val="false"/>
                <w:color w:val="1B2530"/>
                <w:sz w:val="18"/>
                <w:szCs w:val="18"/>
              </w:rPr>
              <w:t xml:space="preserve">~$1.8M</w:t>
            </w:r>
          </w:p>
        </w:tc>
        <w:tc>
          <w:tcPr>
            <w:tcW w:type="dxa" w:w="1426"/>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right"/>
            </w:pPr>
            <w:r>
              <w:rPr>
                <w:rFonts w:ascii="Calibri" w:cs="Calibri" w:eastAsia="Calibri" w:hAnsi="Calibri"/>
                <w:b w:val="false"/>
                <w:bCs w:val="false"/>
                <w:i w:val="false"/>
                <w:iCs w:val="false"/>
                <w:color w:val="1B2530"/>
                <w:sz w:val="18"/>
                <w:szCs w:val="18"/>
              </w:rPr>
              <w:t xml:space="preserve">~45%</w:t>
            </w:r>
          </w:p>
        </w:tc>
        <w:tc>
          <w:tcPr>
            <w:tcW w:type="dxa" w:w="1499"/>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right"/>
            </w:pPr>
            <w:r>
              <w:rPr>
                <w:rFonts w:ascii="Calibri" w:cs="Calibri" w:eastAsia="Calibri" w:hAnsi="Calibri"/>
                <w:b w:val="false"/>
                <w:bCs w:val="false"/>
                <w:i w:val="false"/>
                <w:iCs w:val="false"/>
                <w:color w:val="1B2530"/>
                <w:sz w:val="18"/>
                <w:szCs w:val="18"/>
              </w:rPr>
              <w:t xml:space="preserve">~$1.0M</w:t>
            </w:r>
          </w:p>
        </w:tc>
      </w:tr>
      <w:tr>
        <w:trPr>
          <w:cantSplit/>
          <w:tblHeader w:val="false"/>
        </w:trPr>
        <w:tc>
          <w:tcPr>
            <w:tcW w:type="dxa" w:w="4303"/>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Media / DOOH</w:t>
            </w:r>
          </w:p>
        </w:tc>
        <w:tc>
          <w:tcPr>
            <w:tcW w:type="dxa" w:w="1426"/>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right"/>
            </w:pPr>
            <w:r>
              <w:rPr>
                <w:rFonts w:ascii="Calibri" w:cs="Calibri" w:eastAsia="Calibri" w:hAnsi="Calibri"/>
                <w:b w:val="false"/>
                <w:bCs w:val="false"/>
                <w:i w:val="false"/>
                <w:iCs w:val="false"/>
                <w:color w:val="1B2530"/>
                <w:sz w:val="18"/>
                <w:szCs w:val="18"/>
              </w:rPr>
              <w:t xml:space="preserve">~$7</w:t>
            </w:r>
          </w:p>
        </w:tc>
        <w:tc>
          <w:tcPr>
            <w:tcW w:type="dxa" w:w="1426"/>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right"/>
            </w:pPr>
            <w:r>
              <w:rPr>
                <w:rFonts w:ascii="Calibri" w:cs="Calibri" w:eastAsia="Calibri" w:hAnsi="Calibri"/>
                <w:b w:val="false"/>
                <w:bCs w:val="false"/>
                <w:i w:val="false"/>
                <w:iCs w:val="false"/>
                <w:color w:val="1B2530"/>
                <w:sz w:val="18"/>
                <w:szCs w:val="18"/>
              </w:rPr>
              <w:t xml:space="preserve">~$1.4M</w:t>
            </w:r>
          </w:p>
        </w:tc>
        <w:tc>
          <w:tcPr>
            <w:tcW w:type="dxa" w:w="1426"/>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right"/>
            </w:pPr>
            <w:r>
              <w:rPr>
                <w:rFonts w:ascii="Calibri" w:cs="Calibri" w:eastAsia="Calibri" w:hAnsi="Calibri"/>
                <w:b w:val="false"/>
                <w:bCs w:val="false"/>
                <w:i w:val="false"/>
                <w:iCs w:val="false"/>
                <w:color w:val="1B2530"/>
                <w:sz w:val="18"/>
                <w:szCs w:val="18"/>
              </w:rPr>
              <w:t xml:space="preserve">~35%</w:t>
            </w:r>
          </w:p>
        </w:tc>
        <w:tc>
          <w:tcPr>
            <w:tcW w:type="dxa" w:w="1499"/>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right"/>
            </w:pPr>
            <w:r>
              <w:rPr>
                <w:rFonts w:ascii="Calibri" w:cs="Calibri" w:eastAsia="Calibri" w:hAnsi="Calibri"/>
                <w:b w:val="false"/>
                <w:bCs w:val="false"/>
                <w:i w:val="false"/>
                <w:iCs w:val="false"/>
                <w:color w:val="1B2530"/>
                <w:sz w:val="18"/>
                <w:szCs w:val="18"/>
              </w:rPr>
              <w:t xml:space="preserve">~$0.9M</w:t>
            </w:r>
          </w:p>
        </w:tc>
      </w:tr>
      <w:tr>
        <w:trPr>
          <w:cantSplit/>
          <w:tblHeader w:val="false"/>
        </w:trPr>
        <w:tc>
          <w:tcPr>
            <w:tcW w:type="dxa" w:w="4303"/>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Live commerce + Stage</w:t>
            </w:r>
          </w:p>
        </w:tc>
        <w:tc>
          <w:tcPr>
            <w:tcW w:type="dxa" w:w="1426"/>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right"/>
            </w:pPr>
            <w:r>
              <w:rPr>
                <w:rFonts w:ascii="Calibri" w:cs="Calibri" w:eastAsia="Calibri" w:hAnsi="Calibri"/>
                <w:b w:val="false"/>
                <w:bCs w:val="false"/>
                <w:i w:val="false"/>
                <w:iCs w:val="false"/>
                <w:color w:val="1B2530"/>
                <w:sz w:val="18"/>
                <w:szCs w:val="18"/>
              </w:rPr>
              <w:t xml:space="preserve">~$13</w:t>
            </w:r>
          </w:p>
        </w:tc>
        <w:tc>
          <w:tcPr>
            <w:tcW w:type="dxa" w:w="1426"/>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right"/>
            </w:pPr>
            <w:r>
              <w:rPr>
                <w:rFonts w:ascii="Calibri" w:cs="Calibri" w:eastAsia="Calibri" w:hAnsi="Calibri"/>
                <w:b w:val="false"/>
                <w:bCs w:val="false"/>
                <w:i w:val="false"/>
                <w:iCs w:val="false"/>
                <w:color w:val="1B2530"/>
                <w:sz w:val="18"/>
                <w:szCs w:val="18"/>
              </w:rPr>
              <w:t xml:space="preserve">~$2.6M</w:t>
            </w:r>
          </w:p>
        </w:tc>
        <w:tc>
          <w:tcPr>
            <w:tcW w:type="dxa" w:w="1426"/>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right"/>
            </w:pPr>
            <w:r>
              <w:rPr>
                <w:rFonts w:ascii="Calibri" w:cs="Calibri" w:eastAsia="Calibri" w:hAnsi="Calibri"/>
                <w:b w:val="false"/>
                <w:bCs w:val="false"/>
                <w:i w:val="false"/>
                <w:iCs w:val="false"/>
                <w:color w:val="1B2530"/>
                <w:sz w:val="18"/>
                <w:szCs w:val="18"/>
              </w:rPr>
              <w:t xml:space="preserve">~55%</w:t>
            </w:r>
          </w:p>
        </w:tc>
        <w:tc>
          <w:tcPr>
            <w:tcW w:type="dxa" w:w="1499"/>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right"/>
            </w:pPr>
            <w:r>
              <w:rPr>
                <w:rFonts w:ascii="Calibri" w:cs="Calibri" w:eastAsia="Calibri" w:hAnsi="Calibri"/>
                <w:b w:val="false"/>
                <w:bCs w:val="false"/>
                <w:i w:val="false"/>
                <w:iCs w:val="false"/>
                <w:color w:val="1B2530"/>
                <w:sz w:val="18"/>
                <w:szCs w:val="18"/>
              </w:rPr>
              <w:t xml:space="preserve">~$1.2M</w:t>
            </w:r>
          </w:p>
        </w:tc>
      </w:tr>
      <w:tr>
        <w:trPr>
          <w:cantSplit/>
          <w:tblHeader w:val="false"/>
        </w:trPr>
        <w:tc>
          <w:tcPr>
            <w:tcW w:type="dxa" w:w="4303"/>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Membership (Master + Arcade)</w:t>
            </w:r>
          </w:p>
        </w:tc>
        <w:tc>
          <w:tcPr>
            <w:tcW w:type="dxa" w:w="1426"/>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right"/>
            </w:pPr>
            <w:r>
              <w:rPr>
                <w:rFonts w:ascii="Calibri" w:cs="Calibri" w:eastAsia="Calibri" w:hAnsi="Calibri"/>
                <w:b w:val="false"/>
                <w:bCs w:val="false"/>
                <w:i w:val="false"/>
                <w:iCs w:val="false"/>
                <w:color w:val="1B2530"/>
                <w:sz w:val="18"/>
                <w:szCs w:val="18"/>
              </w:rPr>
              <w:t xml:space="preserve">from traffic</w:t>
            </w:r>
          </w:p>
        </w:tc>
        <w:tc>
          <w:tcPr>
            <w:tcW w:type="dxa" w:w="1426"/>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right"/>
            </w:pPr>
            <w:r>
              <w:rPr>
                <w:rFonts w:ascii="Calibri" w:cs="Calibri" w:eastAsia="Calibri" w:hAnsi="Calibri"/>
                <w:b w:val="false"/>
                <w:bCs w:val="false"/>
                <w:i w:val="false"/>
                <w:iCs w:val="false"/>
                <w:color w:val="1B2530"/>
                <w:sz w:val="18"/>
                <w:szCs w:val="18"/>
              </w:rPr>
              <w:t xml:space="preserve">~$15.3M</w:t>
            </w:r>
          </w:p>
        </w:tc>
        <w:tc>
          <w:tcPr>
            <w:tcW w:type="dxa" w:w="1426"/>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right"/>
            </w:pPr>
            <w:r>
              <w:rPr>
                <w:rFonts w:ascii="Calibri" w:cs="Calibri" w:eastAsia="Calibri" w:hAnsi="Calibri"/>
                <w:b w:val="false"/>
                <w:bCs w:val="false"/>
                <w:i w:val="false"/>
                <w:iCs w:val="false"/>
                <w:color w:val="1B2530"/>
                <w:sz w:val="18"/>
                <w:szCs w:val="18"/>
              </w:rPr>
              <w:t xml:space="preserve">~59%</w:t>
            </w:r>
          </w:p>
        </w:tc>
        <w:tc>
          <w:tcPr>
            <w:tcW w:type="dxa" w:w="1499"/>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right"/>
            </w:pPr>
            <w:r>
              <w:rPr>
                <w:rFonts w:ascii="Calibri" w:cs="Calibri" w:eastAsia="Calibri" w:hAnsi="Calibri"/>
                <w:b w:val="false"/>
                <w:bCs w:val="false"/>
                <w:i w:val="false"/>
                <w:iCs w:val="false"/>
                <w:color w:val="1B2530"/>
                <w:sz w:val="18"/>
                <w:szCs w:val="18"/>
              </w:rPr>
              <w:t xml:space="preserve">~$6.3M</w:t>
            </w:r>
          </w:p>
        </w:tc>
      </w:tr>
      <w:tr>
        <w:trPr>
          <w:cantSplit/>
          <w:tblHeader w:val="false"/>
        </w:trPr>
        <w:tc>
          <w:tcPr>
            <w:tcW w:type="dxa" w:w="4303"/>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Building opex</w:t>
            </w:r>
          </w:p>
        </w:tc>
        <w:tc>
          <w:tcPr>
            <w:tcW w:type="dxa" w:w="1426"/>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right"/>
            </w:pPr>
            <w:r>
              <w:rPr>
                <w:rFonts w:ascii="Calibri" w:cs="Calibri" w:eastAsia="Calibri" w:hAnsi="Calibri"/>
                <w:b w:val="false"/>
                <w:bCs w:val="false"/>
                <w:i w:val="false"/>
                <w:iCs w:val="false"/>
                <w:color w:val="1B2530"/>
                <w:sz w:val="18"/>
                <w:szCs w:val="18"/>
              </w:rPr>
              <w:t xml:space="preserve">—</w:t>
            </w:r>
          </w:p>
        </w:tc>
        <w:tc>
          <w:tcPr>
            <w:tcW w:type="dxa" w:w="1426"/>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right"/>
            </w:pPr>
            <w:r>
              <w:rPr>
                <w:rFonts w:ascii="Calibri" w:cs="Calibri" w:eastAsia="Calibri" w:hAnsi="Calibri"/>
                <w:b w:val="false"/>
                <w:bCs w:val="false"/>
                <w:i w:val="false"/>
                <w:iCs w:val="false"/>
                <w:color w:val="1B2530"/>
                <w:sz w:val="18"/>
                <w:szCs w:val="18"/>
              </w:rPr>
              <w:t xml:space="preserve">—</w:t>
            </w:r>
          </w:p>
        </w:tc>
        <w:tc>
          <w:tcPr>
            <w:tcW w:type="dxa" w:w="1426"/>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right"/>
            </w:pPr>
            <w:r>
              <w:rPr>
                <w:rFonts w:ascii="Calibri" w:cs="Calibri" w:eastAsia="Calibri" w:hAnsi="Calibri"/>
                <w:b w:val="false"/>
                <w:bCs w:val="false"/>
                <w:i w:val="false"/>
                <w:iCs w:val="false"/>
                <w:color w:val="1B2530"/>
                <w:sz w:val="18"/>
                <w:szCs w:val="18"/>
              </w:rPr>
              <w:t xml:space="preserve">$0.50/sqft/mo</w:t>
            </w:r>
          </w:p>
        </w:tc>
        <w:tc>
          <w:tcPr>
            <w:tcW w:type="dxa" w:w="1499"/>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right"/>
            </w:pPr>
            <w:r>
              <w:rPr>
                <w:rFonts w:ascii="Calibri" w:cs="Calibri" w:eastAsia="Calibri" w:hAnsi="Calibri"/>
                <w:b w:val="false"/>
                <w:bCs w:val="false"/>
                <w:i w:val="false"/>
                <w:iCs w:val="false"/>
                <w:color w:val="1B2530"/>
                <w:sz w:val="18"/>
                <w:szCs w:val="18"/>
              </w:rPr>
              <w:t xml:space="preserve">−$1.2M</w:t>
            </w:r>
          </w:p>
        </w:tc>
      </w:tr>
      <w:tr>
        <w:trPr>
          <w:cantSplit/>
          <w:tblHeader w:val="false"/>
        </w:trPr>
        <w:tc>
          <w:tcPr>
            <w:tcW w:type="dxa" w:w="4303"/>
            <w:tcBorders>
              <w:top w:val="single" w:color="D5DBD6" w:sz="4"/>
              <w:left w:val="none" w:color="FFFFFF" w:sz="0"/>
              <w:bottom w:val="single" w:color="D5DBD6" w:sz="4"/>
              <w:right w:val="none" w:color="FFFFFF" w:sz="0"/>
            </w:tcBorders>
            <w:shd w:fill="EEF3F0" w:color="auto" w:val="clear"/>
            <w:tcMar>
              <w:top w:type="dxa" w:w="70"/>
              <w:left w:type="dxa" w:w="100"/>
              <w:bottom w:type="dxa" w:w="70"/>
              <w:right w:type="dxa" w:w="100"/>
            </w:tcMar>
            <w:vAlign w:val="top"/>
          </w:tcPr>
          <w:p>
            <w:pPr>
              <w:spacing w:after="0" w:line="260"/>
              <w:jc w:val="left"/>
            </w:pPr>
            <w:r>
              <w:rPr>
                <w:rFonts w:ascii="Calibri" w:cs="Calibri" w:eastAsia="Calibri" w:hAnsi="Calibri"/>
                <w:b/>
                <w:bCs/>
                <w:i w:val="false"/>
                <w:iCs w:val="false"/>
                <w:color w:val="1B2530"/>
                <w:sz w:val="18"/>
                <w:szCs w:val="18"/>
              </w:rPr>
              <w:t xml:space="preserve">Gross / NOI</w:t>
            </w:r>
          </w:p>
        </w:tc>
        <w:tc>
          <w:tcPr>
            <w:tcW w:type="dxa" w:w="1426"/>
            <w:tcBorders>
              <w:top w:val="single" w:color="D5DBD6" w:sz="4"/>
              <w:left w:val="none" w:color="FFFFFF" w:sz="0"/>
              <w:bottom w:val="single" w:color="D5DBD6" w:sz="4"/>
              <w:right w:val="none" w:color="FFFFFF" w:sz="0"/>
            </w:tcBorders>
            <w:shd w:fill="EEF3F0" w:color="auto" w:val="clear"/>
            <w:tcMar>
              <w:top w:type="dxa" w:w="70"/>
              <w:left w:type="dxa" w:w="100"/>
              <w:bottom w:type="dxa" w:w="70"/>
              <w:right w:type="dxa" w:w="100"/>
            </w:tcMar>
            <w:vAlign w:val="top"/>
          </w:tcPr>
          <w:p>
            <w:pPr>
              <w:spacing w:after="0" w:line="260"/>
              <w:jc w:val="right"/>
            </w:pPr>
            <w:r>
              <w:rPr>
                <w:rFonts w:ascii="Calibri" w:cs="Calibri" w:eastAsia="Calibri" w:hAnsi="Calibri"/>
                <w:b/>
                <w:bCs/>
                <w:i w:val="false"/>
                <w:iCs w:val="false"/>
                <w:color w:val="1B2530"/>
                <w:sz w:val="18"/>
                <w:szCs w:val="18"/>
              </w:rPr>
              <w:t xml:space="preserve">~$128</w:t>
            </w:r>
          </w:p>
        </w:tc>
        <w:tc>
          <w:tcPr>
            <w:tcW w:type="dxa" w:w="1426"/>
            <w:tcBorders>
              <w:top w:val="single" w:color="D5DBD6" w:sz="4"/>
              <w:left w:val="none" w:color="FFFFFF" w:sz="0"/>
              <w:bottom w:val="single" w:color="D5DBD6" w:sz="4"/>
              <w:right w:val="none" w:color="FFFFFF" w:sz="0"/>
            </w:tcBorders>
            <w:shd w:fill="EEF3F0" w:color="auto" w:val="clear"/>
            <w:tcMar>
              <w:top w:type="dxa" w:w="70"/>
              <w:left w:type="dxa" w:w="100"/>
              <w:bottom w:type="dxa" w:w="70"/>
              <w:right w:type="dxa" w:w="100"/>
            </w:tcMar>
            <w:vAlign w:val="top"/>
          </w:tcPr>
          <w:p>
            <w:pPr>
              <w:spacing w:after="0" w:line="260"/>
              <w:jc w:val="right"/>
            </w:pPr>
            <w:r>
              <w:rPr>
                <w:rFonts w:ascii="Calibri" w:cs="Calibri" w:eastAsia="Calibri" w:hAnsi="Calibri"/>
                <w:b/>
                <w:bCs/>
                <w:i w:val="false"/>
                <w:iCs w:val="false"/>
                <w:color w:val="1B2530"/>
                <w:sz w:val="18"/>
                <w:szCs w:val="18"/>
              </w:rPr>
              <w:t xml:space="preserve">~$25.5M</w:t>
            </w:r>
          </w:p>
        </w:tc>
        <w:tc>
          <w:tcPr>
            <w:tcW w:type="dxa" w:w="1426"/>
            <w:tcBorders>
              <w:top w:val="single" w:color="D5DBD6" w:sz="4"/>
              <w:left w:val="none" w:color="FFFFFF" w:sz="0"/>
              <w:bottom w:val="single" w:color="D5DBD6" w:sz="4"/>
              <w:right w:val="none" w:color="FFFFFF" w:sz="0"/>
            </w:tcBorders>
            <w:shd w:fill="EEF3F0" w:color="auto" w:val="clear"/>
            <w:tcMar>
              <w:top w:type="dxa" w:w="70"/>
              <w:left w:type="dxa" w:w="100"/>
              <w:bottom w:type="dxa" w:w="70"/>
              <w:right w:type="dxa" w:w="100"/>
            </w:tcMar>
            <w:vAlign w:val="top"/>
          </w:tcPr>
          <w:p>
            <w:pPr>
              <w:spacing w:after="0" w:line="260"/>
              <w:jc w:val="left"/>
            </w:pPr>
          </w:p>
        </w:tc>
        <w:tc>
          <w:tcPr>
            <w:tcW w:type="dxa" w:w="1499"/>
            <w:tcBorders>
              <w:top w:val="single" w:color="D5DBD6" w:sz="4"/>
              <w:left w:val="none" w:color="FFFFFF" w:sz="0"/>
              <w:bottom w:val="single" w:color="D5DBD6" w:sz="4"/>
              <w:right w:val="none" w:color="FFFFFF" w:sz="0"/>
            </w:tcBorders>
            <w:shd w:fill="EEF3F0" w:color="auto" w:val="clear"/>
            <w:tcMar>
              <w:top w:type="dxa" w:w="70"/>
              <w:left w:type="dxa" w:w="100"/>
              <w:bottom w:type="dxa" w:w="70"/>
              <w:right w:type="dxa" w:w="100"/>
            </w:tcMar>
            <w:vAlign w:val="top"/>
          </w:tcPr>
          <w:p>
            <w:pPr>
              <w:spacing w:after="0" w:line="260"/>
              <w:jc w:val="right"/>
            </w:pPr>
            <w:r>
              <w:rPr>
                <w:rFonts w:ascii="Calibri" w:cs="Calibri" w:eastAsia="Calibri" w:hAnsi="Calibri"/>
                <w:b/>
                <w:bCs/>
                <w:i w:val="false"/>
                <w:iCs w:val="false"/>
                <w:color w:val="1B2530"/>
                <w:sz w:val="18"/>
                <w:szCs w:val="18"/>
              </w:rPr>
              <w:t xml:space="preserve">~$11.2M (44%)</w:t>
            </w:r>
          </w:p>
        </w:tc>
      </w:tr>
      <w:tr>
        <w:trPr>
          <w:cantSplit/>
          <w:tblHeader w:val="false"/>
        </w:trPr>
        <w:tc>
          <w:tcPr>
            <w:tcW w:type="dxa" w:w="4303"/>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REIT 1.0 net rent, same box</w:t>
            </w:r>
          </w:p>
        </w:tc>
        <w:tc>
          <w:tcPr>
            <w:tcW w:type="dxa" w:w="1426"/>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p>
        </w:tc>
        <w:tc>
          <w:tcPr>
            <w:tcW w:type="dxa" w:w="1426"/>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p>
        </w:tc>
        <w:tc>
          <w:tcPr>
            <w:tcW w:type="dxa" w:w="1426"/>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p>
        </w:tc>
        <w:tc>
          <w:tcPr>
            <w:tcW w:type="dxa" w:w="1499"/>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right"/>
            </w:pPr>
            <w:r>
              <w:rPr>
                <w:rFonts w:ascii="Calibri" w:cs="Calibri" w:eastAsia="Calibri" w:hAnsi="Calibri"/>
                <w:b w:val="false"/>
                <w:bCs w:val="false"/>
                <w:i w:val="false"/>
                <w:iCs w:val="false"/>
                <w:color w:val="1B2530"/>
                <w:sz w:val="18"/>
                <w:szCs w:val="18"/>
              </w:rPr>
              <w:t xml:space="preserve">~$3.0M</w:t>
            </w:r>
          </w:p>
        </w:tc>
      </w:tr>
      <w:tr>
        <w:trPr>
          <w:cantSplit/>
          <w:tblHeader w:val="false"/>
        </w:trPr>
        <w:tc>
          <w:tcPr>
            <w:tcW w:type="dxa" w:w="4303"/>
            <w:tcBorders>
              <w:top w:val="single" w:color="D5DBD6" w:sz="4"/>
              <w:left w:val="none" w:color="FFFFFF" w:sz="0"/>
              <w:bottom w:val="single" w:color="D5DBD6" w:sz="4"/>
              <w:right w:val="none" w:color="FFFFFF" w:sz="0"/>
            </w:tcBorders>
            <w:shd w:fill="EEF3F0" w:color="auto" w:val="clear"/>
            <w:tcMar>
              <w:top w:type="dxa" w:w="70"/>
              <w:left w:type="dxa" w:w="100"/>
              <w:bottom w:type="dxa" w:w="70"/>
              <w:right w:type="dxa" w:w="100"/>
            </w:tcMar>
            <w:vAlign w:val="top"/>
          </w:tcPr>
          <w:p>
            <w:pPr>
              <w:spacing w:after="0" w:line="260"/>
              <w:jc w:val="left"/>
            </w:pPr>
            <w:r>
              <w:rPr>
                <w:rFonts w:ascii="Calibri" w:cs="Calibri" w:eastAsia="Calibri" w:hAnsi="Calibri"/>
                <w:b/>
                <w:bCs/>
                <w:i w:val="false"/>
                <w:iCs w:val="false"/>
                <w:color w:val="1B2530"/>
                <w:sz w:val="18"/>
                <w:szCs w:val="18"/>
              </w:rPr>
              <w:t xml:space="preserve">NOI uplift</w:t>
            </w:r>
          </w:p>
        </w:tc>
        <w:tc>
          <w:tcPr>
            <w:tcW w:type="dxa" w:w="1426"/>
            <w:tcBorders>
              <w:top w:val="single" w:color="D5DBD6" w:sz="4"/>
              <w:left w:val="none" w:color="FFFFFF" w:sz="0"/>
              <w:bottom w:val="single" w:color="D5DBD6" w:sz="4"/>
              <w:right w:val="none" w:color="FFFFFF" w:sz="0"/>
            </w:tcBorders>
            <w:shd w:fill="EEF3F0" w:color="auto" w:val="clear"/>
            <w:tcMar>
              <w:top w:type="dxa" w:w="70"/>
              <w:left w:type="dxa" w:w="100"/>
              <w:bottom w:type="dxa" w:w="70"/>
              <w:right w:type="dxa" w:w="100"/>
            </w:tcMar>
            <w:vAlign w:val="top"/>
          </w:tcPr>
          <w:p>
            <w:pPr>
              <w:spacing w:after="0" w:line="260"/>
              <w:jc w:val="left"/>
            </w:pPr>
          </w:p>
        </w:tc>
        <w:tc>
          <w:tcPr>
            <w:tcW w:type="dxa" w:w="1426"/>
            <w:tcBorders>
              <w:top w:val="single" w:color="D5DBD6" w:sz="4"/>
              <w:left w:val="none" w:color="FFFFFF" w:sz="0"/>
              <w:bottom w:val="single" w:color="D5DBD6" w:sz="4"/>
              <w:right w:val="none" w:color="FFFFFF" w:sz="0"/>
            </w:tcBorders>
            <w:shd w:fill="EEF3F0" w:color="auto" w:val="clear"/>
            <w:tcMar>
              <w:top w:type="dxa" w:w="70"/>
              <w:left w:type="dxa" w:w="100"/>
              <w:bottom w:type="dxa" w:w="70"/>
              <w:right w:type="dxa" w:w="100"/>
            </w:tcMar>
            <w:vAlign w:val="top"/>
          </w:tcPr>
          <w:p>
            <w:pPr>
              <w:spacing w:after="0" w:line="260"/>
              <w:jc w:val="left"/>
            </w:pPr>
          </w:p>
        </w:tc>
        <w:tc>
          <w:tcPr>
            <w:tcW w:type="dxa" w:w="1426"/>
            <w:tcBorders>
              <w:top w:val="single" w:color="D5DBD6" w:sz="4"/>
              <w:left w:val="none" w:color="FFFFFF" w:sz="0"/>
              <w:bottom w:val="single" w:color="D5DBD6" w:sz="4"/>
              <w:right w:val="none" w:color="FFFFFF" w:sz="0"/>
            </w:tcBorders>
            <w:shd w:fill="EEF3F0" w:color="auto" w:val="clear"/>
            <w:tcMar>
              <w:top w:type="dxa" w:w="70"/>
              <w:left w:type="dxa" w:w="100"/>
              <w:bottom w:type="dxa" w:w="70"/>
              <w:right w:type="dxa" w:w="100"/>
            </w:tcMar>
            <w:vAlign w:val="top"/>
          </w:tcPr>
          <w:p>
            <w:pPr>
              <w:spacing w:after="0" w:line="260"/>
              <w:jc w:val="left"/>
            </w:pPr>
          </w:p>
        </w:tc>
        <w:tc>
          <w:tcPr>
            <w:tcW w:type="dxa" w:w="1499"/>
            <w:tcBorders>
              <w:top w:val="single" w:color="D5DBD6" w:sz="4"/>
              <w:left w:val="none" w:color="FFFFFF" w:sz="0"/>
              <w:bottom w:val="single" w:color="D5DBD6" w:sz="4"/>
              <w:right w:val="none" w:color="FFFFFF" w:sz="0"/>
            </w:tcBorders>
            <w:shd w:fill="EEF3F0" w:color="auto" w:val="clear"/>
            <w:tcMar>
              <w:top w:type="dxa" w:w="70"/>
              <w:left w:type="dxa" w:w="100"/>
              <w:bottom w:type="dxa" w:w="70"/>
              <w:right w:type="dxa" w:w="100"/>
            </w:tcMar>
            <w:vAlign w:val="top"/>
          </w:tcPr>
          <w:p>
            <w:pPr>
              <w:spacing w:after="0" w:line="260"/>
              <w:jc w:val="right"/>
            </w:pPr>
            <w:r>
              <w:rPr>
                <w:rFonts w:ascii="Calibri" w:cs="Calibri" w:eastAsia="Calibri" w:hAnsi="Calibri"/>
                <w:b/>
                <w:bCs/>
                <w:i w:val="false"/>
                <w:iCs w:val="false"/>
                <w:color w:val="1B2530"/>
                <w:sz w:val="18"/>
                <w:szCs w:val="18"/>
              </w:rPr>
              <w:t xml:space="preserve">≈3.7×</w:t>
            </w:r>
          </w:p>
        </w:tc>
      </w:tr>
    </w:tbl>
    <w:p>
      <w:pPr>
        <w:spacing w:after="120"/>
      </w:pPr>
    </w:p>
    <w:p>
      <w:pPr>
        <w:spacing w:after="140" w:line="300"/>
      </w:pPr>
      <w:r>
        <w:rPr>
          <w:i w:val="false"/>
          <w:iCs w:val="false"/>
        </w:rPr>
        <w:t xml:space="preserve">Source: Unit Economics — Two-Case Assessment. Rounded assumptions for illustration.</w:t>
      </w:r>
    </w:p>
    <w:p>
      <w:pPr>
        <w:pStyle w:val="Heading2"/>
      </w:pPr>
      <w:r>
        <w:rPr>
          <w:i w:val="false"/>
          <w:iCs w:val="false"/>
        </w:rPr>
        <w:t xml:space="preserve">5.2 The investor-grade case</w:t>
      </w:r>
    </w:p>
    <w:p>
      <w:pPr>
        <w:spacing w:after="140" w:line="300"/>
      </w:pPr>
      <w:r>
        <w:rPr>
          <w:i w:val="false"/>
          <w:iCs w:val="false"/>
        </w:rPr>
        <w:t xml:space="preserve">The Formation Round is underwritten on a conservative case that answers the hardest objections before an investment committee raises them, and that now incorporates Position 08:</w:t>
      </w:r>
    </w:p>
    <w:p>
      <w:pPr>
        <w:pStyle w:val="ListParagraph"/>
        <w:numPr>
          <w:ilvl w:val="0"/>
          <w:numId w:val="2"/>
        </w:numPr>
        <w:spacing w:after="80" w:line="290"/>
      </w:pPr>
      <w:r>
        <w:rPr>
          <w:b/>
          <w:bCs/>
          <w:i w:val="false"/>
          <w:iCs w:val="false"/>
        </w:rPr>
        <w:t xml:space="preserve">Membership is built upward from physical capacity, not downward from visits.</w:t>
      </w:r>
      <w:r>
        <w:rPr>
          <w:i w:val="false"/>
          <w:iCs w:val="false"/>
        </w:rPr>
        <w:t xml:space="preserve"> A 200K box mezzanine supports roughly 2,000–3,600 paying Arcade members at realistic desk ratios, not 12,000. Master is priced as a traffic instrument ($15–25) and Arcade against the coworking median ($110–150), not against Industrious. PoC budget pulls membership from 60% of gross into a 25–35% band; the gap is covered by modular space, commissions and Corporate seats.</w:t>
      </w:r>
    </w:p>
    <w:p>
      <w:pPr>
        <w:pStyle w:val="ListParagraph"/>
        <w:numPr>
          <w:ilvl w:val="0"/>
          <w:numId w:val="2"/>
        </w:numPr>
        <w:spacing w:after="80" w:line="290"/>
      </w:pPr>
      <w:r>
        <w:rPr>
          <w:b/>
          <w:bCs/>
          <w:i w:val="false"/>
          <w:iCs w:val="false"/>
        </w:rPr>
        <w:t xml:space="preserve">Missing lines are added.</w:t>
      </w:r>
      <w:r>
        <w:rPr>
          <w:i w:val="false"/>
          <w:iCs w:val="false"/>
        </w:rPr>
        <w:t xml:space="preserve"> A demand engine (Stage programming at 6–8% of gross), insurance, property-tax allocation, security, technology amortisation. If NOI margin falls from 44% to a 30–35% band, the uplift is still 2.5–3× — a financeable story.</w:t>
      </w:r>
    </w:p>
    <w:p>
      <w:pPr>
        <w:pStyle w:val="ListParagraph"/>
        <w:numPr>
          <w:ilvl w:val="0"/>
          <w:numId w:val="2"/>
        </w:numPr>
        <w:spacing w:after="80" w:line="290"/>
      </w:pPr>
      <w:r>
        <w:rPr>
          <w:b/>
          <w:bCs/>
          <w:i w:val="false"/>
          <w:iCs w:val="false"/>
        </w:rPr>
        <w:t xml:space="preserve">Area-based modelling.</w:t>
      </w:r>
      <w:r>
        <w:rPr>
          <w:i w:val="false"/>
          <w:iCs w:val="false"/>
        </w:rPr>
        <w:t xml:space="preserve"> Each line gets its own square footage (indicatively Market Hall 90K, Arcade 45K, Stage 15K, BoH 30K, common 20K). Where the same area earns twice — Market Hall by day, Stage by night — it is stated on purpose.</w:t>
      </w:r>
    </w:p>
    <w:p>
      <w:pPr>
        <w:pStyle w:val="ListParagraph"/>
        <w:numPr>
          <w:ilvl w:val="0"/>
          <w:numId w:val="2"/>
        </w:numPr>
        <w:spacing w:after="80" w:line="290"/>
      </w:pPr>
      <w:r>
        <w:rPr>
          <w:b/>
          <w:bCs/>
          <w:i w:val="false"/>
          <w:iCs w:val="false"/>
        </w:rPr>
        <w:t xml:space="preserve">Non-dues revenue is the membership KPI.</w:t>
      </w:r>
      <w:r>
        <w:rPr>
          <w:i w:val="false"/>
          <w:iCs w:val="false"/>
        </w:rPr>
        <w:t xml:space="preserve"> The dashboard target of 1.5–3.0× in-house spend per dollar of dues is what makes a $15–25 Master rational: the fee buys footfall that earns on the other six lines.</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3055"/>
        <w:gridCol w:w="1174"/>
        <w:gridCol w:w="1300"/>
        <w:gridCol w:w="1300"/>
        <w:gridCol w:w="3251"/>
      </w:tblGrid>
      <w:tr>
        <w:trPr>
          <w:cantSplit/>
          <w:tblHeader/>
        </w:trPr>
        <w:tc>
          <w:tcPr>
            <w:tcW w:type="dxa" w:w="3055"/>
            <w:tcBorders>
              <w:top w:val="single" w:color="D5DBD6" w:sz="4"/>
              <w:left w:val="none" w:color="FFFFFF" w:sz="0"/>
              <w:bottom w:val="single" w:color="D5DBD6" w:sz="4"/>
              <w:right w:val="none" w:color="FFFFFF" w:sz="0"/>
            </w:tcBorders>
            <w:shd w:fill="1B2530" w:color="auto" w:val="clear"/>
            <w:tcMar>
              <w:top w:type="dxa" w:w="70"/>
              <w:left w:type="dxa" w:w="100"/>
              <w:bottom w:type="dxa" w:w="70"/>
              <w:right w:type="dxa" w:w="100"/>
            </w:tcMar>
            <w:vAlign w:val="top"/>
          </w:tcPr>
          <w:p>
            <w:pPr>
              <w:spacing w:after="0" w:line="260"/>
              <w:jc w:val="left"/>
            </w:pPr>
            <w:r>
              <w:rPr>
                <w:rFonts w:ascii="Calibri" w:cs="Calibri" w:eastAsia="Calibri" w:hAnsi="Calibri"/>
                <w:b/>
                <w:bCs/>
                <w:i w:val="false"/>
                <w:iCs w:val="false"/>
                <w:color w:val="FFFFFF"/>
                <w:sz w:val="18"/>
                <w:szCs w:val="18"/>
              </w:rPr>
              <w:t xml:space="preserve">Case</w:t>
            </w:r>
          </w:p>
        </w:tc>
        <w:tc>
          <w:tcPr>
            <w:tcW w:type="dxa" w:w="1174"/>
            <w:tcBorders>
              <w:top w:val="single" w:color="D5DBD6" w:sz="4"/>
              <w:left w:val="none" w:color="FFFFFF" w:sz="0"/>
              <w:bottom w:val="single" w:color="D5DBD6" w:sz="4"/>
              <w:right w:val="none" w:color="FFFFFF" w:sz="0"/>
            </w:tcBorders>
            <w:shd w:fill="1B2530" w:color="auto" w:val="clear"/>
            <w:tcMar>
              <w:top w:type="dxa" w:w="70"/>
              <w:left w:type="dxa" w:w="100"/>
              <w:bottom w:type="dxa" w:w="70"/>
              <w:right w:type="dxa" w:w="100"/>
            </w:tcMar>
            <w:vAlign w:val="top"/>
          </w:tcPr>
          <w:p>
            <w:pPr>
              <w:spacing w:after="0" w:line="260"/>
              <w:jc w:val="right"/>
            </w:pPr>
            <w:r>
              <w:rPr>
                <w:rFonts w:ascii="Calibri" w:cs="Calibri" w:eastAsia="Calibri" w:hAnsi="Calibri"/>
                <w:b/>
                <w:bCs/>
                <w:i w:val="false"/>
                <w:iCs w:val="false"/>
                <w:color w:val="FFFFFF"/>
                <w:sz w:val="18"/>
                <w:szCs w:val="18"/>
              </w:rPr>
              <w:t xml:space="preserve">Gross</w:t>
            </w:r>
          </w:p>
        </w:tc>
        <w:tc>
          <w:tcPr>
            <w:tcW w:type="dxa" w:w="1300"/>
            <w:tcBorders>
              <w:top w:val="single" w:color="D5DBD6" w:sz="4"/>
              <w:left w:val="none" w:color="FFFFFF" w:sz="0"/>
              <w:bottom w:val="single" w:color="D5DBD6" w:sz="4"/>
              <w:right w:val="none" w:color="FFFFFF" w:sz="0"/>
            </w:tcBorders>
            <w:shd w:fill="1B2530" w:color="auto" w:val="clear"/>
            <w:tcMar>
              <w:top w:type="dxa" w:w="70"/>
              <w:left w:type="dxa" w:w="100"/>
              <w:bottom w:type="dxa" w:w="70"/>
              <w:right w:type="dxa" w:w="100"/>
            </w:tcMar>
            <w:vAlign w:val="top"/>
          </w:tcPr>
          <w:p>
            <w:pPr>
              <w:spacing w:after="0" w:line="260"/>
              <w:jc w:val="right"/>
            </w:pPr>
            <w:r>
              <w:rPr>
                <w:rFonts w:ascii="Calibri" w:cs="Calibri" w:eastAsia="Calibri" w:hAnsi="Calibri"/>
                <w:b/>
                <w:bCs/>
                <w:i w:val="false"/>
                <w:iCs w:val="false"/>
                <w:color w:val="FFFFFF"/>
                <w:sz w:val="18"/>
                <w:szCs w:val="18"/>
              </w:rPr>
              <w:t xml:space="preserve">NOI margin</w:t>
            </w:r>
          </w:p>
        </w:tc>
        <w:tc>
          <w:tcPr>
            <w:tcW w:type="dxa" w:w="1300"/>
            <w:tcBorders>
              <w:top w:val="single" w:color="D5DBD6" w:sz="4"/>
              <w:left w:val="none" w:color="FFFFFF" w:sz="0"/>
              <w:bottom w:val="single" w:color="D5DBD6" w:sz="4"/>
              <w:right w:val="none" w:color="FFFFFF" w:sz="0"/>
            </w:tcBorders>
            <w:shd w:fill="1B2530" w:color="auto" w:val="clear"/>
            <w:tcMar>
              <w:top w:type="dxa" w:w="70"/>
              <w:left w:type="dxa" w:w="100"/>
              <w:bottom w:type="dxa" w:w="70"/>
              <w:right w:type="dxa" w:w="100"/>
            </w:tcMar>
            <w:vAlign w:val="top"/>
          </w:tcPr>
          <w:p>
            <w:pPr>
              <w:spacing w:after="0" w:line="260"/>
              <w:jc w:val="right"/>
            </w:pPr>
            <w:r>
              <w:rPr>
                <w:rFonts w:ascii="Calibri" w:cs="Calibri" w:eastAsia="Calibri" w:hAnsi="Calibri"/>
                <w:b/>
                <w:bCs/>
                <w:i w:val="false"/>
                <w:iCs w:val="false"/>
                <w:color w:val="FFFFFF"/>
                <w:sz w:val="18"/>
                <w:szCs w:val="18"/>
              </w:rPr>
              <w:t xml:space="preserve">NOI</w:t>
            </w:r>
          </w:p>
        </w:tc>
        <w:tc>
          <w:tcPr>
            <w:tcW w:type="dxa" w:w="3251"/>
            <w:tcBorders>
              <w:top w:val="single" w:color="D5DBD6" w:sz="4"/>
              <w:left w:val="none" w:color="FFFFFF" w:sz="0"/>
              <w:bottom w:val="single" w:color="D5DBD6" w:sz="4"/>
              <w:right w:val="none" w:color="FFFFFF" w:sz="0"/>
            </w:tcBorders>
            <w:shd w:fill="1B2530" w:color="auto" w:val="clear"/>
            <w:tcMar>
              <w:top w:type="dxa" w:w="70"/>
              <w:left w:type="dxa" w:w="100"/>
              <w:bottom w:type="dxa" w:w="70"/>
              <w:right w:type="dxa" w:w="100"/>
            </w:tcMar>
            <w:vAlign w:val="top"/>
          </w:tcPr>
          <w:p>
            <w:pPr>
              <w:spacing w:after="0" w:line="260"/>
              <w:jc w:val="right"/>
            </w:pPr>
            <w:r>
              <w:rPr>
                <w:rFonts w:ascii="Calibri" w:cs="Calibri" w:eastAsia="Calibri" w:hAnsi="Calibri"/>
                <w:b/>
                <w:bCs/>
                <w:i w:val="false"/>
                <w:iCs w:val="false"/>
                <w:color w:val="FFFFFF"/>
                <w:sz w:val="18"/>
                <w:szCs w:val="18"/>
              </w:rPr>
              <w:t xml:space="preserve">Uplift vs $3.0M rent</w:t>
            </w:r>
          </w:p>
        </w:tc>
      </w:tr>
      <w:tr>
        <w:trPr>
          <w:cantSplit/>
          <w:tblHeader w:val="false"/>
        </w:trPr>
        <w:tc>
          <w:tcPr>
            <w:tcW w:type="dxa" w:w="3055"/>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Founders' base</w:t>
            </w:r>
          </w:p>
        </w:tc>
        <w:tc>
          <w:tcPr>
            <w:tcW w:type="dxa" w:w="1174"/>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right"/>
            </w:pPr>
            <w:r>
              <w:rPr>
                <w:rFonts w:ascii="Calibri" w:cs="Calibri" w:eastAsia="Calibri" w:hAnsi="Calibri"/>
                <w:b w:val="false"/>
                <w:bCs w:val="false"/>
                <w:i w:val="false"/>
                <w:iCs w:val="false"/>
                <w:color w:val="1B2530"/>
                <w:sz w:val="18"/>
                <w:szCs w:val="18"/>
              </w:rPr>
              <w:t xml:space="preserve">~$25.5M</w:t>
            </w:r>
          </w:p>
        </w:tc>
        <w:tc>
          <w:tcPr>
            <w:tcW w:type="dxa" w:w="130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right"/>
            </w:pPr>
            <w:r>
              <w:rPr>
                <w:rFonts w:ascii="Calibri" w:cs="Calibri" w:eastAsia="Calibri" w:hAnsi="Calibri"/>
                <w:b w:val="false"/>
                <w:bCs w:val="false"/>
                <w:i w:val="false"/>
                <w:iCs w:val="false"/>
                <w:color w:val="1B2530"/>
                <w:sz w:val="18"/>
                <w:szCs w:val="18"/>
              </w:rPr>
              <w:t xml:space="preserve">44%</w:t>
            </w:r>
          </w:p>
        </w:tc>
        <w:tc>
          <w:tcPr>
            <w:tcW w:type="dxa" w:w="130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right"/>
            </w:pPr>
            <w:r>
              <w:rPr>
                <w:rFonts w:ascii="Calibri" w:cs="Calibri" w:eastAsia="Calibri" w:hAnsi="Calibri"/>
                <w:b w:val="false"/>
                <w:bCs w:val="false"/>
                <w:i w:val="false"/>
                <w:iCs w:val="false"/>
                <w:color w:val="1B2530"/>
                <w:sz w:val="18"/>
                <w:szCs w:val="18"/>
              </w:rPr>
              <w:t xml:space="preserve">~$11.2M</w:t>
            </w:r>
          </w:p>
        </w:tc>
        <w:tc>
          <w:tcPr>
            <w:tcW w:type="dxa" w:w="3251"/>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right"/>
            </w:pPr>
            <w:r>
              <w:rPr>
                <w:rFonts w:ascii="Calibri" w:cs="Calibri" w:eastAsia="Calibri" w:hAnsi="Calibri"/>
                <w:b w:val="false"/>
                <w:bCs w:val="false"/>
                <w:i w:val="false"/>
                <w:iCs w:val="false"/>
                <w:color w:val="1B2530"/>
                <w:sz w:val="18"/>
                <w:szCs w:val="18"/>
              </w:rPr>
              <w:t xml:space="preserve">~3.7×</w:t>
            </w:r>
          </w:p>
        </w:tc>
      </w:tr>
      <w:tr>
        <w:trPr>
          <w:cantSplit/>
          <w:tblHeader w:val="false"/>
        </w:trPr>
        <w:tc>
          <w:tcPr>
            <w:tcW w:type="dxa" w:w="3055"/>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Conservative (round underwriting)</w:t>
            </w:r>
          </w:p>
        </w:tc>
        <w:tc>
          <w:tcPr>
            <w:tcW w:type="dxa" w:w="1174"/>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right"/>
            </w:pPr>
            <w:r>
              <w:rPr>
                <w:rFonts w:ascii="Calibri" w:cs="Calibri" w:eastAsia="Calibri" w:hAnsi="Calibri"/>
                <w:b w:val="false"/>
                <w:bCs w:val="false"/>
                <w:i w:val="false"/>
                <w:iCs w:val="false"/>
                <w:color w:val="1B2530"/>
                <w:sz w:val="18"/>
                <w:szCs w:val="18"/>
              </w:rPr>
              <w:t xml:space="preserve">~$20–22M</w:t>
            </w:r>
          </w:p>
        </w:tc>
        <w:tc>
          <w:tcPr>
            <w:tcW w:type="dxa" w:w="1300"/>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right"/>
            </w:pPr>
            <w:r>
              <w:rPr>
                <w:rFonts w:ascii="Calibri" w:cs="Calibri" w:eastAsia="Calibri" w:hAnsi="Calibri"/>
                <w:b w:val="false"/>
                <w:bCs w:val="false"/>
                <w:i w:val="false"/>
                <w:iCs w:val="false"/>
                <w:color w:val="1B2530"/>
                <w:sz w:val="18"/>
                <w:szCs w:val="18"/>
              </w:rPr>
              <w:t xml:space="preserve">30–35%</w:t>
            </w:r>
          </w:p>
        </w:tc>
        <w:tc>
          <w:tcPr>
            <w:tcW w:type="dxa" w:w="1300"/>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right"/>
            </w:pPr>
            <w:r>
              <w:rPr>
                <w:rFonts w:ascii="Calibri" w:cs="Calibri" w:eastAsia="Calibri" w:hAnsi="Calibri"/>
                <w:b w:val="false"/>
                <w:bCs w:val="false"/>
                <w:i w:val="false"/>
                <w:iCs w:val="false"/>
                <w:color w:val="1B2530"/>
                <w:sz w:val="18"/>
                <w:szCs w:val="18"/>
              </w:rPr>
              <w:t xml:space="preserve">~$6.5–7.5M</w:t>
            </w:r>
          </w:p>
        </w:tc>
        <w:tc>
          <w:tcPr>
            <w:tcW w:type="dxa" w:w="3251"/>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right"/>
            </w:pPr>
            <w:r>
              <w:rPr>
                <w:rFonts w:ascii="Calibri" w:cs="Calibri" w:eastAsia="Calibri" w:hAnsi="Calibri"/>
                <w:b w:val="false"/>
                <w:bCs w:val="false"/>
                <w:i w:val="false"/>
                <w:iCs w:val="false"/>
                <w:color w:val="1B2530"/>
                <w:sz w:val="18"/>
                <w:szCs w:val="18"/>
              </w:rPr>
              <w:t xml:space="preserve">~2.2–2.5×</w:t>
            </w:r>
          </w:p>
        </w:tc>
      </w:tr>
      <w:tr>
        <w:trPr>
          <w:cantSplit/>
          <w:tblHeader w:val="false"/>
        </w:trPr>
        <w:tc>
          <w:tcPr>
            <w:tcW w:type="dxa" w:w="3055"/>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Kill threshold</w:t>
            </w:r>
          </w:p>
        </w:tc>
        <w:tc>
          <w:tcPr>
            <w:tcW w:type="dxa" w:w="1174"/>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right"/>
            </w:pPr>
            <w:r>
              <w:rPr>
                <w:rFonts w:ascii="Calibri" w:cs="Calibri" w:eastAsia="Calibri" w:hAnsi="Calibri"/>
                <w:b w:val="false"/>
                <w:bCs w:val="false"/>
                <w:i w:val="false"/>
                <w:iCs w:val="false"/>
                <w:color w:val="1B2530"/>
                <w:sz w:val="18"/>
                <w:szCs w:val="18"/>
              </w:rPr>
              <w:t xml:space="preserve">—</w:t>
            </w:r>
          </w:p>
        </w:tc>
        <w:tc>
          <w:tcPr>
            <w:tcW w:type="dxa" w:w="130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right"/>
            </w:pPr>
            <w:r>
              <w:rPr>
                <w:rFonts w:ascii="Calibri" w:cs="Calibri" w:eastAsia="Calibri" w:hAnsi="Calibri"/>
                <w:b w:val="false"/>
                <w:bCs w:val="false"/>
                <w:i w:val="false"/>
                <w:iCs w:val="false"/>
                <w:color w:val="1B2530"/>
                <w:sz w:val="18"/>
                <w:szCs w:val="18"/>
              </w:rPr>
              <w:t xml:space="preserve">&lt; 20%</w:t>
            </w:r>
          </w:p>
        </w:tc>
        <w:tc>
          <w:tcPr>
            <w:tcW w:type="dxa" w:w="130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right"/>
            </w:pPr>
            <w:r>
              <w:rPr>
                <w:rFonts w:ascii="Calibri" w:cs="Calibri" w:eastAsia="Calibri" w:hAnsi="Calibri"/>
                <w:b w:val="false"/>
                <w:bCs w:val="false"/>
                <w:i w:val="false"/>
                <w:iCs w:val="false"/>
                <w:color w:val="1B2530"/>
                <w:sz w:val="18"/>
                <w:szCs w:val="18"/>
              </w:rPr>
              <w:t xml:space="preserve">—</w:t>
            </w:r>
          </w:p>
        </w:tc>
        <w:tc>
          <w:tcPr>
            <w:tcW w:type="dxa" w:w="3251"/>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right"/>
            </w:pPr>
            <w:r>
              <w:rPr>
                <w:rFonts w:ascii="Calibri" w:cs="Calibri" w:eastAsia="Calibri" w:hAnsi="Calibri"/>
                <w:b w:val="false"/>
                <w:bCs w:val="false"/>
                <w:i w:val="false"/>
                <w:iCs w:val="false"/>
                <w:color w:val="1B2530"/>
                <w:sz w:val="18"/>
                <w:szCs w:val="18"/>
              </w:rPr>
              <w:t xml:space="preserve">Redesign line mix and sponsor terms</w:t>
            </w:r>
          </w:p>
        </w:tc>
      </w:tr>
    </w:tbl>
    <w:p>
      <w:pPr>
        <w:spacing w:after="120"/>
      </w:pPr>
    </w:p>
    <w:p>
      <w:pPr>
        <w:spacing w:after="140" w:line="300"/>
      </w:pPr>
      <w:r>
        <w:rPr>
          <w:b/>
          <w:bCs/>
          <w:i w:val="false"/>
          <w:iCs w:val="false"/>
          <w:color w:val="8A5A12"/>
          <w:shd w:fill="F6ECD7" w:val="clear"/>
        </w:rPr>
        <w:t xml:space="preserve">[Council decides]</w:t>
      </w:r>
      <w:r>
        <w:rPr>
          <w:i w:val="false"/>
          <w:iCs w:val="false"/>
        </w:rPr>
        <w:t xml:space="preserve"> which case leads the investor deck. The conservative case is recommended: revising upward from below is easier to defend than correcting downward.</w:t>
      </w:r>
    </w:p>
    <w:p>
      <w:pPr>
        <w:pStyle w:val="Heading2"/>
      </w:pPr>
      <w:r>
        <w:rPr>
          <w:i w:val="false"/>
          <w:iCs w:val="false"/>
        </w:rPr>
        <w:t xml:space="preserve">5.3 RevPAM — one definition, three scales</w:t>
      </w:r>
    </w:p>
    <w:p>
      <w:pPr>
        <w:pStyle w:val="ListParagraph"/>
        <w:numPr>
          <w:ilvl w:val="0"/>
          <w:numId w:val="3"/>
        </w:numPr>
        <w:spacing w:after="80" w:line="290"/>
      </w:pPr>
      <w:r>
        <w:rPr>
          <w:b/>
          <w:bCs/>
          <w:i w:val="false"/>
          <w:iCs w:val="false"/>
        </w:rPr>
        <w:t xml:space="preserve">Per metre</w:t>
      </w:r>
      <w:r>
        <w:rPr>
          <w:i w:val="false"/>
          <w:iCs w:val="false"/>
        </w:rPr>
        <w:t xml:space="preserve"> — the landlord's language, set against $/sqft rent.</w:t>
      </w:r>
    </w:p>
    <w:p>
      <w:pPr>
        <w:pStyle w:val="ListParagraph"/>
        <w:numPr>
          <w:ilvl w:val="0"/>
          <w:numId w:val="3"/>
        </w:numPr>
        <w:spacing w:after="80" w:line="290"/>
      </w:pPr>
      <w:r>
        <w:rPr>
          <w:b/>
          <w:bCs/>
          <w:i w:val="false"/>
          <w:iCs w:val="false"/>
        </w:rPr>
        <w:t xml:space="preserve">Per member</w:t>
      </w:r>
      <w:r>
        <w:rPr>
          <w:i w:val="false"/>
          <w:iCs w:val="false"/>
        </w:rPr>
        <w:t xml:space="preserve"> — the investor's language, set against subscription businesses.</w:t>
      </w:r>
    </w:p>
    <w:p>
      <w:pPr>
        <w:pStyle w:val="ListParagraph"/>
        <w:numPr>
          <w:ilvl w:val="0"/>
          <w:numId w:val="3"/>
        </w:numPr>
        <w:spacing w:after="80" w:line="290"/>
      </w:pPr>
      <w:r>
        <w:rPr>
          <w:b/>
          <w:bCs/>
          <w:i w:val="false"/>
          <w:iCs w:val="false"/>
        </w:rPr>
        <w:t xml:space="preserve">Per household</w:t>
      </w:r>
      <w:r>
        <w:rPr>
          <w:i w:val="false"/>
          <w:iCs w:val="false"/>
        </w:rPr>
        <w:t xml:space="preserve"> — Atmosphere's language: monthly revenue one household brings across all layers. No US operator targets this; it is the defensible first.</w:t>
      </w:r>
    </w:p>
    <w:p>
      <w:pPr>
        <w:pStyle w:val="Heading2"/>
      </w:pPr>
      <w:r>
        <w:rPr>
          <w:i w:val="false"/>
          <w:iCs w:val="false"/>
        </w:rPr>
        <w:t xml:space="preserve">5.4 Line 01 as a standalone proof</w:t>
      </w:r>
    </w:p>
    <w:p>
      <w:pPr>
        <w:spacing w:after="140" w:line="300"/>
      </w:pPr>
      <w:r>
        <w:rPr>
          <w:i w:val="false"/>
          <w:iCs w:val="false"/>
        </w:rPr>
        <w:t xml:space="preserve">300 tables at 15% CPG mix and 55% occupancy give about $9.2M a year indicative on line 01 alone — about $384 per sqft, roughly 15× market rent on the same square footage. This is the line the PoC can prove fastest, because the Costco/CDS price ladder already exists.</w:t>
      </w:r>
    </w:p>
    <w:p>
      <w:pPr>
        <w:pStyle w:val="Heading2"/>
      </w:pPr>
      <w:r>
        <w:rPr>
          <w:i w:val="false"/>
          <w:iCs w:val="false"/>
        </w:rPr>
        <w:t xml:space="preserve">5.5 Landlord math — why the landlord says yes</w:t>
      </w:r>
    </w:p>
    <w:p>
      <w:pPr>
        <w:spacing w:after="140" w:line="300"/>
      </w:pPr>
      <w:r>
        <w:rPr>
          <w:i w:val="false"/>
          <w:iCs w:val="false"/>
        </w:rPr>
        <w:t xml:space="preserve">Under a triple-net lease the landlord's income is contract rent minus vacancy minus amortised re-tenanting cost, signed once a decade. Under the ally structure the landlord takes an agreed share of operating income with a floor guarantee per sqft: downside capped, upside uncapped, paid from day one. The Landlord Math worksheet lets any CFO rebuild the page with their own inputs. If two landlords in a row decline equity-for-rent, the venue opens under an Industrious-type management agreement.</w:t>
      </w:r>
    </w:p>
    <w:p>
      <w:pPr>
        <w:pStyle w:val="Heading2"/>
      </w:pPr>
      <w:r>
        <w:rPr>
          <w:i w:val="false"/>
          <w:iCs w:val="false"/>
        </w:rPr>
        <w:t xml:space="preserve">5.6 Portfolio logic — long-range scenario only</w:t>
      </w:r>
    </w:p>
    <w:p>
      <w:pPr>
        <w:spacing w:after="140" w:line="300"/>
      </w:pPr>
      <w:r>
        <w:rPr>
          <w:i w:val="false"/>
          <w:iCs w:val="false"/>
        </w:rPr>
        <w:t xml:space="preserve">Single-location economics held constant, 50 locations (~10M sqft) give ~$560M NOI a year at the founders' case, anchored to Industrious' ~$4M per unit and 50%+ revenue CAGR. A 500-location figure is deliberately not shown. Neither number belongs on a sponsor's or landlord's table before Venue-0 has four quarters of data.</w:t>
      </w:r>
    </w:p>
    <w:p>
      <w:r>
        <w:br w:type="page"/>
      </w:r>
    </w:p>
    <w:p>
      <w:pPr>
        <w:pStyle w:val="Heading1"/>
      </w:pPr>
      <w:r>
        <w:rPr>
          <w:color w:val="0F5F5C"/>
        </w:rPr>
        <w:t xml:space="preserve">6 </w:t>
      </w:r>
      <w:r>
        <w:t xml:space="preserve">Precedents — what we copy, what we avoid</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732"/>
        <w:gridCol w:w="3458"/>
        <w:gridCol w:w="4890"/>
      </w:tblGrid>
      <w:tr>
        <w:trPr>
          <w:cantSplit/>
          <w:tblHeader/>
        </w:trPr>
        <w:tc>
          <w:tcPr>
            <w:tcW w:type="dxa" w:w="1732"/>
            <w:tcBorders>
              <w:top w:val="single" w:color="D5DBD6" w:sz="4"/>
              <w:left w:val="none" w:color="FFFFFF" w:sz="0"/>
              <w:bottom w:val="single" w:color="D5DBD6" w:sz="4"/>
              <w:right w:val="none" w:color="FFFFFF" w:sz="0"/>
            </w:tcBorders>
            <w:shd w:fill="1B2530" w:color="auto" w:val="clear"/>
            <w:tcMar>
              <w:top w:type="dxa" w:w="70"/>
              <w:left w:type="dxa" w:w="100"/>
              <w:bottom w:type="dxa" w:w="70"/>
              <w:right w:type="dxa" w:w="100"/>
            </w:tcMar>
            <w:vAlign w:val="top"/>
          </w:tcPr>
          <w:p>
            <w:pPr>
              <w:spacing w:after="0" w:line="260"/>
              <w:jc w:val="left"/>
            </w:pPr>
            <w:r>
              <w:rPr>
                <w:rFonts w:ascii="Calibri" w:cs="Calibri" w:eastAsia="Calibri" w:hAnsi="Calibri"/>
                <w:b/>
                <w:bCs/>
                <w:i w:val="false"/>
                <w:iCs w:val="false"/>
                <w:color w:val="FFFFFF"/>
                <w:sz w:val="18"/>
                <w:szCs w:val="18"/>
              </w:rPr>
              <w:t xml:space="preserve">Precedent</w:t>
            </w:r>
          </w:p>
        </w:tc>
        <w:tc>
          <w:tcPr>
            <w:tcW w:type="dxa" w:w="3458"/>
            <w:tcBorders>
              <w:top w:val="single" w:color="D5DBD6" w:sz="4"/>
              <w:left w:val="none" w:color="FFFFFF" w:sz="0"/>
              <w:bottom w:val="single" w:color="D5DBD6" w:sz="4"/>
              <w:right w:val="none" w:color="FFFFFF" w:sz="0"/>
            </w:tcBorders>
            <w:shd w:fill="1B2530" w:color="auto" w:val="clear"/>
            <w:tcMar>
              <w:top w:type="dxa" w:w="70"/>
              <w:left w:type="dxa" w:w="100"/>
              <w:bottom w:type="dxa" w:w="70"/>
              <w:right w:type="dxa" w:w="100"/>
            </w:tcMar>
            <w:vAlign w:val="top"/>
          </w:tcPr>
          <w:p>
            <w:pPr>
              <w:spacing w:after="0" w:line="260"/>
              <w:jc w:val="left"/>
            </w:pPr>
            <w:r>
              <w:rPr>
                <w:rFonts w:ascii="Calibri" w:cs="Calibri" w:eastAsia="Calibri" w:hAnsi="Calibri"/>
                <w:b/>
                <w:bCs/>
                <w:i w:val="false"/>
                <w:iCs w:val="false"/>
                <w:color w:val="FFFFFF"/>
                <w:sz w:val="18"/>
                <w:szCs w:val="18"/>
              </w:rPr>
              <w:t xml:space="preserve">What happened</w:t>
            </w:r>
          </w:p>
        </w:tc>
        <w:tc>
          <w:tcPr>
            <w:tcW w:type="dxa" w:w="4890"/>
            <w:tcBorders>
              <w:top w:val="single" w:color="D5DBD6" w:sz="4"/>
              <w:left w:val="none" w:color="FFFFFF" w:sz="0"/>
              <w:bottom w:val="single" w:color="D5DBD6" w:sz="4"/>
              <w:right w:val="none" w:color="FFFFFF" w:sz="0"/>
            </w:tcBorders>
            <w:shd w:fill="1B2530" w:color="auto" w:val="clear"/>
            <w:tcMar>
              <w:top w:type="dxa" w:w="70"/>
              <w:left w:type="dxa" w:w="100"/>
              <w:bottom w:type="dxa" w:w="70"/>
              <w:right w:type="dxa" w:w="100"/>
            </w:tcMar>
            <w:vAlign w:val="top"/>
          </w:tcPr>
          <w:p>
            <w:pPr>
              <w:spacing w:after="0" w:line="260"/>
              <w:jc w:val="left"/>
            </w:pPr>
            <w:r>
              <w:rPr>
                <w:rFonts w:ascii="Calibri" w:cs="Calibri" w:eastAsia="Calibri" w:hAnsi="Calibri"/>
                <w:b/>
                <w:bCs/>
                <w:i w:val="false"/>
                <w:iCs w:val="false"/>
                <w:color w:val="FFFFFF"/>
                <w:sz w:val="18"/>
                <w:szCs w:val="18"/>
              </w:rPr>
              <w:t xml:space="preserve">Rule encoded in our documents</w:t>
            </w:r>
          </w:p>
        </w:tc>
      </w:tr>
      <w:tr>
        <w:trPr>
          <w:cantSplit/>
          <w:tblHeader w:val="false"/>
        </w:trPr>
        <w:tc>
          <w:tcPr>
            <w:tcW w:type="dxa" w:w="1732"/>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WeWork</w:t>
            </w:r>
          </w:p>
        </w:tc>
        <w:tc>
          <w:tcPr>
            <w:tcW w:type="dxa" w:w="3458"/>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Long leases under the operator; collapsed when demand moved</w:t>
            </w:r>
          </w:p>
        </w:tc>
        <w:tc>
          <w:tcPr>
            <w:tcW w:type="dxa" w:w="489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The WeWork wound: no long-duration lease liability under OpCo — management or revenue-share only</w:t>
            </w:r>
          </w:p>
        </w:tc>
      </w:tr>
      <w:tr>
        <w:trPr>
          <w:cantSplit/>
          <w:tblHeader w:val="false"/>
        </w:trPr>
        <w:tc>
          <w:tcPr>
            <w:tcW w:type="dxa" w:w="1732"/>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REEF</w:t>
            </w:r>
          </w:p>
        </w:tc>
        <w:tc>
          <w:tcPr>
            <w:tcW w:type="dxa" w:w="3458"/>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Scaled before site economics were proven</w:t>
            </w:r>
          </w:p>
        </w:tc>
        <w:tc>
          <w:tcPr>
            <w:tcW w:type="dxa" w:w="4890"/>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The REEF wound: no self-operated F&amp;B; no second venue without four quarters of data</w:t>
            </w:r>
          </w:p>
        </w:tc>
      </w:tr>
      <w:tr>
        <w:trPr>
          <w:cantSplit/>
          <w:tblHeader w:val="false"/>
        </w:trPr>
        <w:tc>
          <w:tcPr>
            <w:tcW w:type="dxa" w:w="1732"/>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Industrious → CBRE ($800M)</w:t>
            </w:r>
          </w:p>
        </w:tc>
        <w:tc>
          <w:tcPr>
            <w:tcW w:type="dxa" w:w="3458"/>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Asset-light operator acquired as a new segment</w:t>
            </w:r>
          </w:p>
        </w:tc>
        <w:tc>
          <w:tcPr>
            <w:tcW w:type="dxa" w:w="489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The Industrious doctrine: landlord as partner; CBRE is the exit, not the enemy</w:t>
            </w:r>
          </w:p>
        </w:tc>
      </w:tr>
      <w:tr>
        <w:trPr>
          <w:cantSplit/>
          <w:tblHeader w:val="false"/>
        </w:trPr>
        <w:tc>
          <w:tcPr>
            <w:tcW w:type="dxa" w:w="1732"/>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Showfields / Neighborhood Goods / b8ta</w:t>
            </w:r>
          </w:p>
        </w:tc>
        <w:tc>
          <w:tcPr>
            <w:tcW w:type="dxa" w:w="3458"/>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Showcase-fee model failed even with traffic</w:t>
            </w:r>
          </w:p>
        </w:tc>
        <w:tc>
          <w:tcPr>
            <w:tcW w:type="dxa" w:w="4890"/>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The brand carries inventory; we take a share of seven lines</w:t>
            </w:r>
          </w:p>
        </w:tc>
      </w:tr>
      <w:tr>
        <w:trPr>
          <w:cantSplit/>
          <w:tblHeader w:val="false"/>
        </w:trPr>
        <w:tc>
          <w:tcPr>
            <w:tcW w:type="dxa" w:w="1732"/>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Leap (115+ spaces, Simon)</w:t>
            </w:r>
          </w:p>
        </w:tc>
        <w:tc>
          <w:tcPr>
            <w:tcW w:type="dxa" w:w="3458"/>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Full-service operation with brands that bring an audience</w:t>
            </w:r>
          </w:p>
        </w:tc>
        <w:tc>
          <w:tcPr>
            <w:tcW w:type="dxa" w:w="489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Anchor criterion: has its own audience</w:t>
            </w:r>
          </w:p>
        </w:tc>
      </w:tr>
      <w:tr>
        <w:trPr>
          <w:cantSplit/>
          <w:tblHeader w:val="false"/>
        </w:trPr>
        <w:tc>
          <w:tcPr>
            <w:tcW w:type="dxa" w:w="1732"/>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Amazon 4-star / Style</w:t>
            </w:r>
          </w:p>
        </w:tc>
        <w:tc>
          <w:tcPr>
            <w:tcW w:type="dxa" w:w="3458"/>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Best-reviewed products on a shelf; over-engineering</w:t>
            </w:r>
          </w:p>
        </w:tc>
        <w:tc>
          <w:tcPr>
            <w:tcW w:type="dxa" w:w="4890"/>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Demand is bought, not assumed; PoC tech at one maker's scope</w:t>
            </w:r>
          </w:p>
        </w:tc>
      </w:tr>
      <w:tr>
        <w:trPr>
          <w:cantSplit/>
          <w:tblHeader w:val="false"/>
        </w:trPr>
        <w:tc>
          <w:tcPr>
            <w:tcW w:type="dxa" w:w="1732"/>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SHEIN at BHV Paris</w:t>
            </w:r>
          </w:p>
        </w:tc>
        <w:tc>
          <w:tcPr>
            <w:tcW w:type="dxa" w:w="3458"/>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Youth traffic drove out tenants and partners</w:t>
            </w:r>
          </w:p>
        </w:tc>
        <w:tc>
          <w:tcPr>
            <w:tcW w:type="dxa" w:w="489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Three-tier fit policy; ultra-fast fashion outside the PoC</w:t>
            </w:r>
          </w:p>
        </w:tc>
      </w:tr>
      <w:tr>
        <w:trPr>
          <w:cantSplit/>
          <w:tblHeader w:val="false"/>
        </w:trPr>
        <w:tc>
          <w:tcPr>
            <w:tcW w:type="dxa" w:w="1732"/>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Costco (92.3% renewal)</w:t>
            </w:r>
          </w:p>
        </w:tc>
        <w:tc>
          <w:tcPr>
            <w:tcW w:type="dxa" w:w="3458"/>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Fee recovered within one or two visits</w:t>
            </w:r>
          </w:p>
        </w:tc>
        <w:tc>
          <w:tcPr>
            <w:tcW w:type="dxa" w:w="4890"/>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The payback rule: fee felt returned within 30–45 days</w:t>
            </w:r>
          </w:p>
        </w:tc>
      </w:tr>
      <w:tr>
        <w:trPr>
          <w:cantSplit/>
          <w:tblHeader w:val="false"/>
        </w:trPr>
        <w:tc>
          <w:tcPr>
            <w:tcW w:type="dxa" w:w="1732"/>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Casa Cipriani (photography ban)</w:t>
            </w:r>
          </w:p>
        </w:tc>
        <w:tc>
          <w:tcPr>
            <w:tcW w:type="dxa" w:w="3458"/>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Product protection, not affectation</w:t>
            </w:r>
          </w:p>
        </w:tc>
        <w:tc>
          <w:tcPr>
            <w:tcW w:type="dxa" w:w="489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Camera zoning attached to the place</w:t>
            </w:r>
          </w:p>
        </w:tc>
      </w:tr>
      <w:tr>
        <w:trPr>
          <w:cantSplit/>
          <w:tblHeader w:val="false"/>
        </w:trPr>
        <w:tc>
          <w:tcPr>
            <w:tcW w:type="dxa" w:w="1732"/>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Volta ($1.4B → $169M)</w:t>
            </w:r>
          </w:p>
        </w:tc>
        <w:tc>
          <w:tcPr>
            <w:tcW w:type="dxa" w:w="3458"/>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Parking-lot screens as a company</w:t>
            </w:r>
          </w:p>
        </w:tc>
        <w:tc>
          <w:tcPr>
            <w:tcW w:type="dxa" w:w="4890"/>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Media and lot lines are bonus lines, never the business</w:t>
            </w:r>
          </w:p>
        </w:tc>
      </w:tr>
      <w:tr>
        <w:trPr>
          <w:cantSplit/>
          <w:tblHeader w:val="false"/>
        </w:trPr>
        <w:tc>
          <w:tcPr>
            <w:tcW w:type="dxa" w:w="1732"/>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IPG × Facebook (2006, ~45×)</w:t>
            </w:r>
          </w:p>
        </w:tc>
        <w:tc>
          <w:tcPr>
            <w:tcW w:type="dxa" w:w="3458"/>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Early channel equity coupled to spend</w:t>
            </w:r>
          </w:p>
        </w:tc>
        <w:tc>
          <w:tcPr>
            <w:tcW w:type="dxa" w:w="489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Media rails, not a crowned agency; no spend-linked equity</w:t>
            </w:r>
          </w:p>
        </w:tc>
      </w:tr>
    </w:tbl>
    <w:p>
      <w:pPr>
        <w:spacing w:after="120"/>
      </w:pPr>
    </w:p>
    <w:p>
      <w:r>
        <w:br w:type="page"/>
      </w:r>
    </w:p>
    <w:p>
      <w:pPr>
        <w:pStyle w:val="Heading1"/>
      </w:pPr>
      <w:r>
        <w:rPr>
          <w:color w:val="0F5F5C"/>
        </w:rPr>
        <w:t xml:space="preserve">7 </w:t>
      </w:r>
      <w:r>
        <w:t xml:space="preserve">The Alliance Skeleton — what the capital funds</w:t>
      </w:r>
    </w:p>
    <w:p>
      <w:pPr>
        <w:spacing w:after="140" w:line="300"/>
      </w:pPr>
      <w:r>
        <w:rPr>
          <w:i w:val="false"/>
          <w:iCs w:val="false"/>
        </w:rPr>
        <w:t xml:space="preserve">The round does not fund a company that later seeks partners. It funds a body with ten numbered positions and a Trust Ally, admitted in order through one funnel, so that every counterparty enters US law and market convention to one standard, built once.</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100"/>
        <w:gridCol w:w="1300"/>
        <w:gridCol w:w="4209"/>
        <w:gridCol w:w="3471"/>
      </w:tblGrid>
      <w:tr>
        <w:trPr>
          <w:cantSplit/>
          <w:tblHeader/>
        </w:trPr>
        <w:tc>
          <w:tcPr>
            <w:tcW w:type="dxa" w:w="1100"/>
            <w:tcBorders>
              <w:top w:val="single" w:color="D5DBD6" w:sz="4"/>
              <w:left w:val="none" w:color="FFFFFF" w:sz="0"/>
              <w:bottom w:val="single" w:color="D5DBD6" w:sz="4"/>
              <w:right w:val="none" w:color="FFFFFF" w:sz="0"/>
            </w:tcBorders>
            <w:shd w:fill="1B2530" w:color="auto" w:val="clear"/>
            <w:tcMar>
              <w:top w:type="dxa" w:w="70"/>
              <w:left w:type="dxa" w:w="100"/>
              <w:bottom w:type="dxa" w:w="70"/>
              <w:right w:type="dxa" w:w="100"/>
            </w:tcMar>
            <w:vAlign w:val="top"/>
          </w:tcPr>
          <w:p>
            <w:pPr>
              <w:spacing w:after="0" w:line="260"/>
              <w:jc w:val="left"/>
            </w:pPr>
            <w:r>
              <w:rPr>
                <w:rFonts w:ascii="Calibri" w:cs="Calibri" w:eastAsia="Calibri" w:hAnsi="Calibri"/>
                <w:b/>
                <w:bCs/>
                <w:i w:val="false"/>
                <w:iCs w:val="false"/>
                <w:color w:val="FFFFFF"/>
                <w:sz w:val="18"/>
                <w:szCs w:val="18"/>
              </w:rPr>
              <w:t xml:space="preserve">Position</w:t>
            </w:r>
          </w:p>
        </w:tc>
        <w:tc>
          <w:tcPr>
            <w:tcW w:type="dxa" w:w="1300"/>
            <w:tcBorders>
              <w:top w:val="single" w:color="D5DBD6" w:sz="4"/>
              <w:left w:val="none" w:color="FFFFFF" w:sz="0"/>
              <w:bottom w:val="single" w:color="D5DBD6" w:sz="4"/>
              <w:right w:val="none" w:color="FFFFFF" w:sz="0"/>
            </w:tcBorders>
            <w:shd w:fill="1B2530" w:color="auto" w:val="clear"/>
            <w:tcMar>
              <w:top w:type="dxa" w:w="70"/>
              <w:left w:type="dxa" w:w="100"/>
              <w:bottom w:type="dxa" w:w="70"/>
              <w:right w:type="dxa" w:w="100"/>
            </w:tcMar>
            <w:vAlign w:val="top"/>
          </w:tcPr>
          <w:p>
            <w:pPr>
              <w:spacing w:after="0" w:line="260"/>
              <w:jc w:val="left"/>
            </w:pPr>
            <w:r>
              <w:rPr>
                <w:rFonts w:ascii="Calibri" w:cs="Calibri" w:eastAsia="Calibri" w:hAnsi="Calibri"/>
                <w:b/>
                <w:bCs/>
                <w:i w:val="false"/>
                <w:iCs w:val="false"/>
                <w:color w:val="FFFFFF"/>
                <w:sz w:val="18"/>
                <w:szCs w:val="18"/>
              </w:rPr>
              <w:t xml:space="preserve">Ally</w:t>
            </w:r>
          </w:p>
        </w:tc>
        <w:tc>
          <w:tcPr>
            <w:tcW w:type="dxa" w:w="4209"/>
            <w:tcBorders>
              <w:top w:val="single" w:color="D5DBD6" w:sz="4"/>
              <w:left w:val="none" w:color="FFFFFF" w:sz="0"/>
              <w:bottom w:val="single" w:color="D5DBD6" w:sz="4"/>
              <w:right w:val="none" w:color="FFFFFF" w:sz="0"/>
            </w:tcBorders>
            <w:shd w:fill="1B2530" w:color="auto" w:val="clear"/>
            <w:tcMar>
              <w:top w:type="dxa" w:w="70"/>
              <w:left w:type="dxa" w:w="100"/>
              <w:bottom w:type="dxa" w:w="70"/>
              <w:right w:type="dxa" w:w="100"/>
            </w:tcMar>
            <w:vAlign w:val="top"/>
          </w:tcPr>
          <w:p>
            <w:pPr>
              <w:spacing w:after="0" w:line="260"/>
              <w:jc w:val="left"/>
            </w:pPr>
            <w:r>
              <w:rPr>
                <w:rFonts w:ascii="Calibri" w:cs="Calibri" w:eastAsia="Calibri" w:hAnsi="Calibri"/>
                <w:b/>
                <w:bCs/>
                <w:i w:val="false"/>
                <w:iCs w:val="false"/>
                <w:color w:val="FFFFFF"/>
                <w:sz w:val="18"/>
                <w:szCs w:val="18"/>
              </w:rPr>
              <w:t xml:space="preserve">Role</w:t>
            </w:r>
          </w:p>
        </w:tc>
        <w:tc>
          <w:tcPr>
            <w:tcW w:type="dxa" w:w="3471"/>
            <w:tcBorders>
              <w:top w:val="single" w:color="D5DBD6" w:sz="4"/>
              <w:left w:val="none" w:color="FFFFFF" w:sz="0"/>
              <w:bottom w:val="single" w:color="D5DBD6" w:sz="4"/>
              <w:right w:val="none" w:color="FFFFFF" w:sz="0"/>
            </w:tcBorders>
            <w:shd w:fill="1B2530" w:color="auto" w:val="clear"/>
            <w:tcMar>
              <w:top w:type="dxa" w:w="70"/>
              <w:left w:type="dxa" w:w="100"/>
              <w:bottom w:type="dxa" w:w="70"/>
              <w:right w:type="dxa" w:w="100"/>
            </w:tcMar>
            <w:vAlign w:val="top"/>
          </w:tcPr>
          <w:p>
            <w:pPr>
              <w:spacing w:after="0" w:line="260"/>
              <w:jc w:val="left"/>
            </w:pPr>
            <w:r>
              <w:rPr>
                <w:rFonts w:ascii="Calibri" w:cs="Calibri" w:eastAsia="Calibri" w:hAnsi="Calibri"/>
                <w:b/>
                <w:bCs/>
                <w:i w:val="false"/>
                <w:iCs w:val="false"/>
                <w:color w:val="FFFFFF"/>
                <w:sz w:val="18"/>
                <w:szCs w:val="18"/>
              </w:rPr>
              <w:t xml:space="preserve">Status, September 2026</w:t>
            </w:r>
          </w:p>
        </w:tc>
      </w:tr>
      <w:tr>
        <w:trPr>
          <w:cantSplit/>
          <w:tblHeader w:val="false"/>
        </w:trPr>
        <w:tc>
          <w:tcPr>
            <w:tcW w:type="dxa" w:w="110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01</w:t>
            </w:r>
          </w:p>
        </w:tc>
        <w:tc>
          <w:tcPr>
            <w:tcW w:type="dxa" w:w="130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Legal Ally</w:t>
            </w:r>
          </w:p>
        </w:tc>
        <w:tc>
          <w:tcPr>
            <w:tcW w:type="dxa" w:w="4209"/>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The spine: structure, fiduciary duty, narrow governance, escrow</w:t>
            </w:r>
          </w:p>
        </w:tc>
        <w:tc>
          <w:tcPr>
            <w:tcW w:type="dxa" w:w="3471"/>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Five firms evaluated; Cole-Frieman &amp; Mallon ranked first; conversations pending</w:t>
            </w:r>
          </w:p>
        </w:tc>
      </w:tr>
      <w:tr>
        <w:trPr>
          <w:cantSplit/>
          <w:tblHeader w:val="false"/>
        </w:trPr>
        <w:tc>
          <w:tcPr>
            <w:tcW w:type="dxa" w:w="1100"/>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02</w:t>
            </w:r>
          </w:p>
        </w:tc>
        <w:tc>
          <w:tcPr>
            <w:tcW w:type="dxa" w:w="1300"/>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Media Agent Ally</w:t>
            </w:r>
          </w:p>
        </w:tc>
        <w:tc>
          <w:tcPr>
            <w:tcW w:type="dxa" w:w="4209"/>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The rails the pyramid already buys through: SSPs, Faire / Shopify, open Certified Partner program</w:t>
            </w:r>
          </w:p>
        </w:tc>
        <w:tc>
          <w:tcPr>
            <w:tcW w:type="dxa" w:w="3471"/>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Rail thesis adopted; Faire equity-level track for authorisation</w:t>
            </w:r>
          </w:p>
        </w:tc>
      </w:tr>
      <w:tr>
        <w:trPr>
          <w:cantSplit/>
          <w:tblHeader w:val="false"/>
        </w:trPr>
        <w:tc>
          <w:tcPr>
            <w:tcW w:type="dxa" w:w="110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03</w:t>
            </w:r>
          </w:p>
        </w:tc>
        <w:tc>
          <w:tcPr>
            <w:tcW w:type="dxa" w:w="130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Landlord Ally — Physical</w:t>
            </w:r>
          </w:p>
        </w:tc>
        <w:tc>
          <w:tcPr>
            <w:tcW w:type="dxa" w:w="4209"/>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Equity or revenue share in place of rent; the box, not the mall</w:t>
            </w:r>
          </w:p>
        </w:tc>
        <w:tc>
          <w:tcPr>
            <w:tcW w:type="dxa" w:w="3471"/>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Landlord Math published; CBL-class target</w:t>
            </w:r>
          </w:p>
        </w:tc>
      </w:tr>
      <w:tr>
        <w:trPr>
          <w:cantSplit/>
          <w:tblHeader w:val="false"/>
        </w:trPr>
        <w:tc>
          <w:tcPr>
            <w:tcW w:type="dxa" w:w="1100"/>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04</w:t>
            </w:r>
          </w:p>
        </w:tc>
        <w:tc>
          <w:tcPr>
            <w:tcW w:type="dxa" w:w="1300"/>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Sponsor Ally</w:t>
            </w:r>
          </w:p>
        </w:tc>
        <w:tc>
          <w:tcPr>
            <w:tcW w:type="dxa" w:w="4209"/>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The door pays with kit, activation and an option — not cash, and not a royalty received</w:t>
            </w:r>
          </w:p>
        </w:tc>
        <w:tc>
          <w:tcPr>
            <w:tcW w:type="dxa" w:w="3471"/>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Option 4 ladder; Kia America primary target</w:t>
            </w:r>
          </w:p>
        </w:tc>
      </w:tr>
      <w:tr>
        <w:trPr>
          <w:cantSplit/>
          <w:tblHeader w:val="false"/>
        </w:trPr>
        <w:tc>
          <w:tcPr>
            <w:tcW w:type="dxa" w:w="110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05</w:t>
            </w:r>
          </w:p>
        </w:tc>
        <w:tc>
          <w:tcPr>
            <w:tcW w:type="dxa" w:w="130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Anchor Allies</w:t>
            </w:r>
          </w:p>
        </w:tc>
        <w:tc>
          <w:tcPr>
            <w:tcW w:type="dxa" w:w="4209"/>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Rails (Etsy, Faire, Depop/StockX, MakerWorld), homeless brands, one grocery anchor</w:t>
            </w:r>
          </w:p>
        </w:tc>
        <w:tc>
          <w:tcPr>
            <w:tcW w:type="dxa" w:w="3471"/>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142 brands scored; 23 priority A; 90-day outreach plan</w:t>
            </w:r>
          </w:p>
        </w:tc>
      </w:tr>
      <w:tr>
        <w:trPr>
          <w:cantSplit/>
          <w:tblHeader w:val="false"/>
        </w:trPr>
        <w:tc>
          <w:tcPr>
            <w:tcW w:type="dxa" w:w="1100"/>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06</w:t>
            </w:r>
          </w:p>
        </w:tc>
        <w:tc>
          <w:tcPr>
            <w:tcW w:type="dxa" w:w="1300"/>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Entrepreneur Allies</w:t>
            </w:r>
          </w:p>
        </w:tc>
        <w:tc>
          <w:tcPr>
            <w:tcW w:type="dxa" w:w="4209"/>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The 1,001 positions; the evidence index behind them</w:t>
            </w:r>
          </w:p>
        </w:tc>
        <w:tc>
          <w:tcPr>
            <w:tcW w:type="dxa" w:w="3471"/>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Evidence index and Space &amp; Capacity Model published</w:t>
            </w:r>
          </w:p>
        </w:tc>
      </w:tr>
      <w:tr>
        <w:trPr>
          <w:cantSplit/>
          <w:tblHeader w:val="false"/>
        </w:trPr>
        <w:tc>
          <w:tcPr>
            <w:tcW w:type="dxa" w:w="110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07</w:t>
            </w:r>
          </w:p>
        </w:tc>
        <w:tc>
          <w:tcPr>
            <w:tcW w:type="dxa" w:w="130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Landlord Ally — Digital</w:t>
            </w:r>
          </w:p>
        </w:tc>
        <w:tc>
          <w:tcPr>
            <w:tcW w:type="dxa" w:w="4209"/>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Platform and infrastructure owners for Third Space and Third Channel</w:t>
            </w:r>
          </w:p>
        </w:tc>
        <w:tc>
          <w:tcPr>
            <w:tcW w:type="dxa" w:w="3471"/>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Follows the media rails</w:t>
            </w:r>
          </w:p>
        </w:tc>
      </w:tr>
      <w:tr>
        <w:trPr>
          <w:cantSplit/>
          <w:tblHeader w:val="false"/>
        </w:trPr>
        <w:tc>
          <w:tcPr>
            <w:tcW w:type="dxa" w:w="1100"/>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08</w:t>
            </w:r>
          </w:p>
        </w:tc>
        <w:tc>
          <w:tcPr>
            <w:tcW w:type="dxa" w:w="1300"/>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Users &amp; Visitors &amp; Beyond</w:t>
            </w:r>
          </w:p>
        </w:tc>
        <w:tc>
          <w:tcPr>
            <w:tcW w:type="dxa" w:w="4209"/>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The membership architecture of Section 4: seven tiers, three families</w:t>
            </w:r>
          </w:p>
        </w:tc>
        <w:tc>
          <w:tcPr>
            <w:tcW w:type="dxa" w:w="3471"/>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Rev.01 submitted; Master price is the open resolution</w:t>
            </w:r>
          </w:p>
        </w:tc>
      </w:tr>
      <w:tr>
        <w:trPr>
          <w:cantSplit/>
          <w:tblHeader w:val="false"/>
        </w:trPr>
        <w:tc>
          <w:tcPr>
            <w:tcW w:type="dxa" w:w="110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09</w:t>
            </w:r>
          </w:p>
        </w:tc>
        <w:tc>
          <w:tcPr>
            <w:tcW w:type="dxa" w:w="130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Financial Data</w:t>
            </w:r>
          </w:p>
        </w:tc>
        <w:tc>
          <w:tcPr>
            <w:tcW w:type="dxa" w:w="4209"/>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Canonical numbers, the model, the reporting standard</w:t>
            </w:r>
          </w:p>
        </w:tc>
        <w:tc>
          <w:tcPr>
            <w:tcW w:type="dxa" w:w="3471"/>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Excel model and financial database delivered; canonical page owner to be named</w:t>
            </w:r>
          </w:p>
        </w:tc>
      </w:tr>
      <w:tr>
        <w:trPr>
          <w:cantSplit/>
          <w:tblHeader w:val="false"/>
        </w:trPr>
        <w:tc>
          <w:tcPr>
            <w:tcW w:type="dxa" w:w="1100"/>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10</w:t>
            </w:r>
          </w:p>
        </w:tc>
        <w:tc>
          <w:tcPr>
            <w:tcW w:type="dxa" w:w="1300"/>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Phygital Elements</w:t>
            </w:r>
          </w:p>
        </w:tc>
        <w:tc>
          <w:tcPr>
            <w:tcW w:type="dxa" w:w="4209"/>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The other end of the spine; the true face of ALA</w:t>
            </w:r>
          </w:p>
        </w:tc>
        <w:tc>
          <w:tcPr>
            <w:tcW w:type="dxa" w:w="3471"/>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Fixture samples on the bench; fabrication ally for PoC</w:t>
            </w:r>
          </w:p>
        </w:tc>
      </w:tr>
      <w:tr>
        <w:trPr>
          <w:cantSplit/>
          <w:tblHeader w:val="false"/>
        </w:trPr>
        <w:tc>
          <w:tcPr>
            <w:tcW w:type="dxa" w:w="110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10+</w:t>
            </w:r>
          </w:p>
        </w:tc>
        <w:tc>
          <w:tcPr>
            <w:tcW w:type="dxa" w:w="130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Trust Ally</w:t>
            </w:r>
          </w:p>
        </w:tc>
        <w:tc>
          <w:tcPr>
            <w:tcW w:type="dxa" w:w="4209"/>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The single US operating partner; SPV mandate</w:t>
            </w:r>
          </w:p>
        </w:tc>
        <w:tc>
          <w:tcPr>
            <w:tcW w:type="dxa" w:w="3471"/>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Portrait published; examination before entrustment</w:t>
            </w:r>
          </w:p>
        </w:tc>
      </w:tr>
    </w:tbl>
    <w:p>
      <w:pPr>
        <w:spacing w:after="120"/>
      </w:pPr>
    </w:p>
    <w:p>
      <w:pPr>
        <w:pStyle w:val="Heading2"/>
      </w:pPr>
      <w:r>
        <w:rPr>
          <w:i w:val="false"/>
          <w:iCs w:val="false"/>
        </w:rPr>
        <w:t xml:space="preserve">7.1 The Legal Ally — Stewardship Mandate</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300"/>
        <w:gridCol w:w="6279"/>
        <w:gridCol w:w="2501"/>
      </w:tblGrid>
      <w:tr>
        <w:trPr>
          <w:cantSplit/>
          <w:tblHeader/>
        </w:trPr>
        <w:tc>
          <w:tcPr>
            <w:tcW w:type="dxa" w:w="1300"/>
            <w:tcBorders>
              <w:top w:val="single" w:color="D5DBD6" w:sz="4"/>
              <w:left w:val="none" w:color="FFFFFF" w:sz="0"/>
              <w:bottom w:val="single" w:color="D5DBD6" w:sz="4"/>
              <w:right w:val="none" w:color="FFFFFF" w:sz="0"/>
            </w:tcBorders>
            <w:shd w:fill="1B2530" w:color="auto" w:val="clear"/>
            <w:tcMar>
              <w:top w:type="dxa" w:w="70"/>
              <w:left w:type="dxa" w:w="100"/>
              <w:bottom w:type="dxa" w:w="70"/>
              <w:right w:type="dxa" w:w="100"/>
            </w:tcMar>
            <w:vAlign w:val="top"/>
          </w:tcPr>
          <w:p>
            <w:pPr>
              <w:spacing w:after="0" w:line="260"/>
              <w:jc w:val="left"/>
            </w:pPr>
            <w:r>
              <w:rPr>
                <w:rFonts w:ascii="Calibri" w:cs="Calibri" w:eastAsia="Calibri" w:hAnsi="Calibri"/>
                <w:b/>
                <w:bCs/>
                <w:i w:val="false"/>
                <w:iCs w:val="false"/>
                <w:color w:val="FFFFFF"/>
                <w:sz w:val="18"/>
                <w:szCs w:val="18"/>
              </w:rPr>
              <w:t xml:space="preserve">Component</w:t>
            </w:r>
          </w:p>
        </w:tc>
        <w:tc>
          <w:tcPr>
            <w:tcW w:type="dxa" w:w="6279"/>
            <w:tcBorders>
              <w:top w:val="single" w:color="D5DBD6" w:sz="4"/>
              <w:left w:val="none" w:color="FFFFFF" w:sz="0"/>
              <w:bottom w:val="single" w:color="D5DBD6" w:sz="4"/>
              <w:right w:val="none" w:color="FFFFFF" w:sz="0"/>
            </w:tcBorders>
            <w:shd w:fill="1B2530" w:color="auto" w:val="clear"/>
            <w:tcMar>
              <w:top w:type="dxa" w:w="70"/>
              <w:left w:type="dxa" w:w="100"/>
              <w:bottom w:type="dxa" w:w="70"/>
              <w:right w:type="dxa" w:w="100"/>
            </w:tcMar>
            <w:vAlign w:val="top"/>
          </w:tcPr>
          <w:p>
            <w:pPr>
              <w:spacing w:after="0" w:line="260"/>
              <w:jc w:val="left"/>
            </w:pPr>
            <w:r>
              <w:rPr>
                <w:rFonts w:ascii="Calibri" w:cs="Calibri" w:eastAsia="Calibri" w:hAnsi="Calibri"/>
                <w:b/>
                <w:bCs/>
                <w:i w:val="false"/>
                <w:iCs w:val="false"/>
                <w:color w:val="FFFFFF"/>
                <w:sz w:val="18"/>
                <w:szCs w:val="18"/>
              </w:rPr>
              <w:t xml:space="preserve">What the Legal Ally holds</w:t>
            </w:r>
          </w:p>
        </w:tc>
        <w:tc>
          <w:tcPr>
            <w:tcW w:type="dxa" w:w="2501"/>
            <w:tcBorders>
              <w:top w:val="single" w:color="D5DBD6" w:sz="4"/>
              <w:left w:val="none" w:color="FFFFFF" w:sz="0"/>
              <w:bottom w:val="single" w:color="D5DBD6" w:sz="4"/>
              <w:right w:val="none" w:color="FFFFFF" w:sz="0"/>
            </w:tcBorders>
            <w:shd w:fill="1B2530" w:color="auto" w:val="clear"/>
            <w:tcMar>
              <w:top w:type="dxa" w:w="70"/>
              <w:left w:type="dxa" w:w="100"/>
              <w:bottom w:type="dxa" w:w="70"/>
              <w:right w:type="dxa" w:w="100"/>
            </w:tcMar>
            <w:vAlign w:val="top"/>
          </w:tcPr>
          <w:p>
            <w:pPr>
              <w:spacing w:after="0" w:line="260"/>
              <w:jc w:val="left"/>
            </w:pPr>
            <w:r>
              <w:rPr>
                <w:rFonts w:ascii="Calibri" w:cs="Calibri" w:eastAsia="Calibri" w:hAnsi="Calibri"/>
                <w:b/>
                <w:bCs/>
                <w:i w:val="false"/>
                <w:iCs w:val="false"/>
                <w:color w:val="FFFFFF"/>
                <w:sz w:val="18"/>
                <w:szCs w:val="18"/>
              </w:rPr>
              <w:t xml:space="preserve">What stays with ALA and the allies</w:t>
            </w:r>
          </w:p>
        </w:tc>
      </w:tr>
      <w:tr>
        <w:trPr>
          <w:cantSplit/>
          <w:tblHeader w:val="false"/>
        </w:trPr>
        <w:tc>
          <w:tcPr>
            <w:tcW w:type="dxa" w:w="130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Economics</w:t>
            </w:r>
          </w:p>
        </w:tc>
        <w:tc>
          <w:tcPr>
            <w:tcW w:type="dxa" w:w="6279"/>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A share of ALA's own share in the venture</w:t>
            </w:r>
          </w:p>
        </w:tc>
        <w:tc>
          <w:tcPr>
            <w:tcW w:type="dxa" w:w="2501"/>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All other equity</w:t>
            </w:r>
          </w:p>
        </w:tc>
      </w:tr>
      <w:tr>
        <w:trPr>
          <w:cantSplit/>
          <w:tblHeader w:val="false"/>
        </w:trPr>
        <w:tc>
          <w:tcPr>
            <w:tcW w:type="dxa" w:w="1300"/>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Fiduciary (broad)</w:t>
            </w:r>
          </w:p>
        </w:tc>
        <w:tc>
          <w:tcPr>
            <w:tcW w:type="dxa" w:w="6279"/>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Loyalty, care, disclosure toward ALA and every admitted ally; responsibility for compliance and market-readiness</w:t>
            </w:r>
          </w:p>
        </w:tc>
        <w:tc>
          <w:tcPr>
            <w:tcW w:type="dxa" w:w="2501"/>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w:t>
            </w:r>
          </w:p>
        </w:tc>
      </w:tr>
      <w:tr>
        <w:trPr>
          <w:cantSplit/>
          <w:tblHeader w:val="false"/>
        </w:trPr>
        <w:tc>
          <w:tcPr>
            <w:tcW w:type="dxa" w:w="130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Governance (narrow)</w:t>
            </w:r>
          </w:p>
        </w:tc>
        <w:tc>
          <w:tcPr>
            <w:tcW w:type="dxa" w:w="6279"/>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Entity design and jurisdiction; registrations; admission standard; veto on structural and compliance matters only</w:t>
            </w:r>
          </w:p>
        </w:tc>
        <w:tc>
          <w:tcPr>
            <w:tcW w:type="dxa" w:w="2501"/>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Commercial, brand and operating decisions</w:t>
            </w:r>
          </w:p>
        </w:tc>
      </w:tr>
      <w:tr>
        <w:trPr>
          <w:cantSplit/>
          <w:tblHeader w:val="false"/>
        </w:trPr>
        <w:tc>
          <w:tcPr>
            <w:tcW w:type="dxa" w:w="1300"/>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Escrow</w:t>
            </w:r>
          </w:p>
        </w:tc>
        <w:tc>
          <w:tcPr>
            <w:tcW w:type="dxa" w:w="6279"/>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Custodian of all ally commitments</w:t>
            </w:r>
          </w:p>
        </w:tc>
        <w:tc>
          <w:tcPr>
            <w:tcW w:type="dxa" w:w="2501"/>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Beneficial ownership of committed funds</w:t>
            </w:r>
          </w:p>
        </w:tc>
      </w:tr>
    </w:tbl>
    <w:p>
      <w:pPr>
        <w:spacing w:after="120"/>
      </w:pPr>
    </w:p>
    <w:p>
      <w:pPr>
        <w:spacing w:after="140" w:line="300"/>
      </w:pPr>
      <w:r>
        <w:rPr>
          <w:i w:val="false"/>
          <w:iCs w:val="false"/>
        </w:rPr>
        <w:t xml:space="preserve">The Legal Ally is scope-limited to counsel and architecture; every counterparty and investor relationship is held personally by the principal. For investors this matters twice: subscriptions pass through an escrow the Legal Ally controls, and the admission standard the capital depends on is drawn by a fiduciary, not by the party raising the money. Position 08 hands the Legal Ally four drafting items: the Stage Access disclosure covenant and suspension clause, camera zoning and consent for incidental capture, the liability-of-counsel clause in membership terms, and minors' presence on the market floor.</w:t>
      </w:r>
    </w:p>
    <w:p>
      <w:r>
        <w:br w:type="page"/>
      </w:r>
    </w:p>
    <w:p>
      <w:pPr>
        <w:pStyle w:val="Heading1"/>
      </w:pPr>
      <w:r>
        <w:rPr>
          <w:color w:val="0F5F5C"/>
        </w:rPr>
        <w:t xml:space="preserve">8 </w:t>
      </w:r>
      <w:r>
        <w:t xml:space="preserve">The Formation Round</w:t>
      </w:r>
    </w:p>
    <w:p>
      <w:pPr>
        <w:pStyle w:val="Heading2"/>
      </w:pPr>
      <w:r>
        <w:rPr>
          <w:i w:val="false"/>
          <w:iCs w:val="false"/>
        </w:rPr>
        <w:t xml:space="preserve">8.1 Terms at a glance — indicative, to be finalised with the Legal Ally</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300"/>
        <w:gridCol w:w="8780"/>
      </w:tblGrid>
      <w:tr>
        <w:trPr>
          <w:cantSplit/>
          <w:tblHeader/>
        </w:trPr>
        <w:tc>
          <w:tcPr>
            <w:tcW w:type="dxa" w:w="1300"/>
            <w:tcBorders>
              <w:top w:val="single" w:color="D5DBD6" w:sz="4"/>
              <w:left w:val="none" w:color="FFFFFF" w:sz="0"/>
              <w:bottom w:val="single" w:color="D5DBD6" w:sz="4"/>
              <w:right w:val="none" w:color="FFFFFF" w:sz="0"/>
            </w:tcBorders>
            <w:shd w:fill="1B2530" w:color="auto" w:val="clear"/>
            <w:tcMar>
              <w:top w:type="dxa" w:w="70"/>
              <w:left w:type="dxa" w:w="100"/>
              <w:bottom w:type="dxa" w:w="70"/>
              <w:right w:type="dxa" w:w="100"/>
            </w:tcMar>
            <w:vAlign w:val="top"/>
          </w:tcPr>
          <w:p>
            <w:pPr>
              <w:spacing w:after="0" w:line="260"/>
              <w:jc w:val="left"/>
            </w:pPr>
            <w:r>
              <w:rPr>
                <w:rFonts w:ascii="Calibri" w:cs="Calibri" w:eastAsia="Calibri" w:hAnsi="Calibri"/>
                <w:b/>
                <w:bCs/>
                <w:i w:val="false"/>
                <w:iCs w:val="false"/>
                <w:color w:val="FFFFFF"/>
                <w:sz w:val="18"/>
                <w:szCs w:val="18"/>
              </w:rPr>
              <w:t xml:space="preserve">Item</w:t>
            </w:r>
          </w:p>
        </w:tc>
        <w:tc>
          <w:tcPr>
            <w:tcW w:type="dxa" w:w="8780"/>
            <w:tcBorders>
              <w:top w:val="single" w:color="D5DBD6" w:sz="4"/>
              <w:left w:val="none" w:color="FFFFFF" w:sz="0"/>
              <w:bottom w:val="single" w:color="D5DBD6" w:sz="4"/>
              <w:right w:val="none" w:color="FFFFFF" w:sz="0"/>
            </w:tcBorders>
            <w:shd w:fill="1B2530" w:color="auto" w:val="clear"/>
            <w:tcMar>
              <w:top w:type="dxa" w:w="70"/>
              <w:left w:type="dxa" w:w="100"/>
              <w:bottom w:type="dxa" w:w="70"/>
              <w:right w:type="dxa" w:w="100"/>
            </w:tcMar>
            <w:vAlign w:val="top"/>
          </w:tcPr>
          <w:p>
            <w:pPr>
              <w:spacing w:after="0" w:line="260"/>
              <w:jc w:val="left"/>
            </w:pPr>
            <w:r>
              <w:rPr>
                <w:rFonts w:ascii="Calibri" w:cs="Calibri" w:eastAsia="Calibri" w:hAnsi="Calibri"/>
                <w:b/>
                <w:bCs/>
                <w:i w:val="false"/>
                <w:iCs w:val="false"/>
                <w:color w:val="FFFFFF"/>
                <w:sz w:val="18"/>
                <w:szCs w:val="18"/>
              </w:rPr>
              <w:t xml:space="preserve">Indicative position</w:t>
            </w:r>
          </w:p>
        </w:tc>
      </w:tr>
      <w:tr>
        <w:trPr>
          <w:cantSplit/>
          <w:tblHeader w:val="false"/>
        </w:trPr>
        <w:tc>
          <w:tcPr>
            <w:tcW w:type="dxa" w:w="130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Size</w:t>
            </w:r>
          </w:p>
        </w:tc>
        <w:tc>
          <w:tcPr>
            <w:tcW w:type="dxa" w:w="878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~$8M, two tranches</w:t>
            </w:r>
          </w:p>
        </w:tc>
      </w:tr>
      <w:tr>
        <w:trPr>
          <w:cantSplit/>
          <w:tblHeader w:val="false"/>
        </w:trPr>
        <w:tc>
          <w:tcPr>
            <w:tcW w:type="dxa" w:w="1300"/>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Structure</w:t>
            </w:r>
          </w:p>
        </w:tc>
        <w:tc>
          <w:tcPr>
            <w:tcW w:type="dxa" w:w="8780"/>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Private placement for verified accredited participants; Scale-phase pathway to a broader qualified offering prepared in the same documents</w:t>
            </w:r>
          </w:p>
        </w:tc>
      </w:tr>
      <w:tr>
        <w:trPr>
          <w:cantSplit/>
          <w:tblHeader w:val="false"/>
        </w:trPr>
        <w:tc>
          <w:tcPr>
            <w:tcW w:type="dxa" w:w="130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Vehicle</w:t>
            </w:r>
          </w:p>
        </w:tc>
        <w:tc>
          <w:tcPr>
            <w:tcW w:type="dxa" w:w="878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Single OpCo LLC for the PoC; PropCo / OpCo-TRS / MemberCo and the PEIT™ design held ready for the third venue and the first institutional PropCo partner</w:t>
            </w:r>
          </w:p>
        </w:tc>
      </w:tr>
      <w:tr>
        <w:trPr>
          <w:cantSplit/>
          <w:tblHeader w:val="false"/>
        </w:trPr>
        <w:tc>
          <w:tcPr>
            <w:tcW w:type="dxa" w:w="1300"/>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Alliance split (C+C+C reference)</w:t>
            </w:r>
          </w:p>
        </w:tc>
        <w:tc>
          <w:tcPr>
            <w:tcW w:type="dxa" w:w="8780"/>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ALA 40 / investor 40 / landlord 20, with an ALA golden share over IP, brand and member data</w:t>
            </w:r>
          </w:p>
        </w:tc>
      </w:tr>
      <w:tr>
        <w:trPr>
          <w:cantSplit/>
          <w:tblHeader w:val="false"/>
        </w:trPr>
        <w:tc>
          <w:tcPr>
            <w:tcW w:type="dxa" w:w="130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Investor protections</w:t>
            </w:r>
          </w:p>
        </w:tc>
        <w:tc>
          <w:tcPr>
            <w:tcW w:type="dxa" w:w="878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Escrow under Legal Ally custody; tranche gates; information rights; fit-policy disclosure; canonical numbers page as the reporting standard; membership health dashboard as the operating standard</w:t>
            </w:r>
          </w:p>
        </w:tc>
      </w:tr>
      <w:tr>
        <w:trPr>
          <w:cantSplit/>
          <w:tblHeader w:val="false"/>
        </w:trPr>
        <w:tc>
          <w:tcPr>
            <w:tcW w:type="dxa" w:w="1300"/>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Already in place</w:t>
            </w:r>
          </w:p>
        </w:tc>
        <w:tc>
          <w:tcPr>
            <w:tcW w:type="dxa" w:w="8780"/>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Brand and IP (six marks), four systems, Qumbet fabrication lineage, published market and ally research, a committed investor partner</w:t>
            </w:r>
          </w:p>
        </w:tc>
      </w:tr>
      <w:tr>
        <w:trPr>
          <w:cantSplit/>
          <w:tblHeader w:val="false"/>
        </w:trPr>
        <w:tc>
          <w:tcPr>
            <w:tcW w:type="dxa" w:w="130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What the round buys</w:t>
            </w:r>
          </w:p>
        </w:tc>
        <w:tc>
          <w:tcPr>
            <w:tcW w:type="dxa" w:w="878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One proof-of-concept venue and a measured RevPAM figure in twelve months</w:t>
            </w:r>
          </w:p>
        </w:tc>
      </w:tr>
    </w:tbl>
    <w:p>
      <w:pPr>
        <w:spacing w:after="120"/>
      </w:pPr>
    </w:p>
    <w:p>
      <w:pPr>
        <w:spacing w:after="140" w:line="300"/>
      </w:pPr>
      <w:r>
        <w:rPr>
          <w:b/>
          <w:bCs/>
          <w:i w:val="false"/>
          <w:iCs w:val="false"/>
          <w:color w:val="8A5A12"/>
          <w:shd w:fill="F6ECD7" w:val="clear"/>
        </w:rPr>
        <w:t xml:space="preserve">[Council decides]</w:t>
      </w:r>
      <w:r>
        <w:rPr>
          <w:i w:val="false"/>
          <w:iCs w:val="false"/>
        </w:rPr>
        <w:t xml:space="preserve"> the exact instrument, valuation basis, and whether the committed investor partner is the Tranche 1 lead.</w:t>
      </w:r>
    </w:p>
    <w:p>
      <w:pPr>
        <w:pStyle w:val="Heading2"/>
      </w:pPr>
      <w:r>
        <w:rPr>
          <w:i w:val="false"/>
          <w:iCs w:val="false"/>
        </w:rPr>
        <w:t xml:space="preserve">8.2 Two tranches, one gate</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300"/>
        <w:gridCol w:w="1300"/>
        <w:gridCol w:w="5222"/>
        <w:gridCol w:w="2258"/>
      </w:tblGrid>
      <w:tr>
        <w:trPr>
          <w:cantSplit/>
          <w:tblHeader/>
        </w:trPr>
        <w:tc>
          <w:tcPr>
            <w:tcW w:type="dxa" w:w="1300"/>
            <w:tcBorders>
              <w:top w:val="single" w:color="D5DBD6" w:sz="4"/>
              <w:left w:val="none" w:color="FFFFFF" w:sz="0"/>
              <w:bottom w:val="single" w:color="D5DBD6" w:sz="4"/>
              <w:right w:val="none" w:color="FFFFFF" w:sz="0"/>
            </w:tcBorders>
            <w:shd w:fill="1B2530" w:color="auto" w:val="clear"/>
            <w:tcMar>
              <w:top w:type="dxa" w:w="70"/>
              <w:left w:type="dxa" w:w="100"/>
              <w:bottom w:type="dxa" w:w="70"/>
              <w:right w:type="dxa" w:w="100"/>
            </w:tcMar>
            <w:vAlign w:val="top"/>
          </w:tcPr>
          <w:p>
            <w:pPr>
              <w:spacing w:after="0" w:line="260"/>
              <w:jc w:val="left"/>
            </w:pPr>
            <w:r>
              <w:rPr>
                <w:rFonts w:ascii="Calibri" w:cs="Calibri" w:eastAsia="Calibri" w:hAnsi="Calibri"/>
                <w:b/>
                <w:bCs/>
                <w:i w:val="false"/>
                <w:iCs w:val="false"/>
                <w:color w:val="FFFFFF"/>
                <w:sz w:val="18"/>
                <w:szCs w:val="18"/>
              </w:rPr>
              <w:t xml:space="preserve">Tranche</w:t>
            </w:r>
          </w:p>
        </w:tc>
        <w:tc>
          <w:tcPr>
            <w:tcW w:type="dxa" w:w="1300"/>
            <w:tcBorders>
              <w:top w:val="single" w:color="D5DBD6" w:sz="4"/>
              <w:left w:val="none" w:color="FFFFFF" w:sz="0"/>
              <w:bottom w:val="single" w:color="D5DBD6" w:sz="4"/>
              <w:right w:val="none" w:color="FFFFFF" w:sz="0"/>
            </w:tcBorders>
            <w:shd w:fill="1B2530" w:color="auto" w:val="clear"/>
            <w:tcMar>
              <w:top w:type="dxa" w:w="70"/>
              <w:left w:type="dxa" w:w="100"/>
              <w:bottom w:type="dxa" w:w="70"/>
              <w:right w:type="dxa" w:w="100"/>
            </w:tcMar>
            <w:vAlign w:val="top"/>
          </w:tcPr>
          <w:p>
            <w:pPr>
              <w:spacing w:after="0" w:line="260"/>
              <w:jc w:val="left"/>
            </w:pPr>
            <w:r>
              <w:rPr>
                <w:rFonts w:ascii="Calibri" w:cs="Calibri" w:eastAsia="Calibri" w:hAnsi="Calibri"/>
                <w:b/>
                <w:bCs/>
                <w:i w:val="false"/>
                <w:iCs w:val="false"/>
                <w:color w:val="FFFFFF"/>
                <w:sz w:val="18"/>
                <w:szCs w:val="18"/>
              </w:rPr>
              <w:t xml:space="preserve">Indicative size</w:t>
            </w:r>
          </w:p>
        </w:tc>
        <w:tc>
          <w:tcPr>
            <w:tcW w:type="dxa" w:w="5222"/>
            <w:tcBorders>
              <w:top w:val="single" w:color="D5DBD6" w:sz="4"/>
              <w:left w:val="none" w:color="FFFFFF" w:sz="0"/>
              <w:bottom w:val="single" w:color="D5DBD6" w:sz="4"/>
              <w:right w:val="none" w:color="FFFFFF" w:sz="0"/>
            </w:tcBorders>
            <w:shd w:fill="1B2530" w:color="auto" w:val="clear"/>
            <w:tcMar>
              <w:top w:type="dxa" w:w="70"/>
              <w:left w:type="dxa" w:w="100"/>
              <w:bottom w:type="dxa" w:w="70"/>
              <w:right w:type="dxa" w:w="100"/>
            </w:tcMar>
            <w:vAlign w:val="top"/>
          </w:tcPr>
          <w:p>
            <w:pPr>
              <w:spacing w:after="0" w:line="260"/>
              <w:jc w:val="left"/>
            </w:pPr>
            <w:r>
              <w:rPr>
                <w:rFonts w:ascii="Calibri" w:cs="Calibri" w:eastAsia="Calibri" w:hAnsi="Calibri"/>
                <w:b/>
                <w:bCs/>
                <w:i w:val="false"/>
                <w:iCs w:val="false"/>
                <w:color w:val="FFFFFF"/>
                <w:sz w:val="18"/>
                <w:szCs w:val="18"/>
              </w:rPr>
              <w:t xml:space="preserve">Funds</w:t>
            </w:r>
          </w:p>
        </w:tc>
        <w:tc>
          <w:tcPr>
            <w:tcW w:type="dxa" w:w="2258"/>
            <w:tcBorders>
              <w:top w:val="single" w:color="D5DBD6" w:sz="4"/>
              <w:left w:val="none" w:color="FFFFFF" w:sz="0"/>
              <w:bottom w:val="single" w:color="D5DBD6" w:sz="4"/>
              <w:right w:val="none" w:color="FFFFFF" w:sz="0"/>
            </w:tcBorders>
            <w:shd w:fill="1B2530" w:color="auto" w:val="clear"/>
            <w:tcMar>
              <w:top w:type="dxa" w:w="70"/>
              <w:left w:type="dxa" w:w="100"/>
              <w:bottom w:type="dxa" w:w="70"/>
              <w:right w:type="dxa" w:w="100"/>
            </w:tcMar>
            <w:vAlign w:val="top"/>
          </w:tcPr>
          <w:p>
            <w:pPr>
              <w:spacing w:after="0" w:line="260"/>
              <w:jc w:val="left"/>
            </w:pPr>
            <w:r>
              <w:rPr>
                <w:rFonts w:ascii="Calibri" w:cs="Calibri" w:eastAsia="Calibri" w:hAnsi="Calibri"/>
                <w:b/>
                <w:bCs/>
                <w:i w:val="false"/>
                <w:iCs w:val="false"/>
                <w:color w:val="FFFFFF"/>
                <w:sz w:val="18"/>
                <w:szCs w:val="18"/>
              </w:rPr>
              <w:t xml:space="preserve">Release condition</w:t>
            </w:r>
          </w:p>
        </w:tc>
      </w:tr>
      <w:tr>
        <w:trPr>
          <w:cantSplit/>
          <w:tblHeader w:val="false"/>
        </w:trPr>
        <w:tc>
          <w:tcPr>
            <w:tcW w:type="dxa" w:w="130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T1 — Formation</w:t>
            </w:r>
          </w:p>
        </w:tc>
        <w:tc>
          <w:tcPr>
            <w:tcW w:type="dxa" w:w="130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~$3M</w:t>
            </w:r>
          </w:p>
        </w:tc>
        <w:tc>
          <w:tcPr>
            <w:tcW w:type="dxa" w:w="5222"/>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Legal Ally engagement and entity stack; canonical numbers; legal opinions (trademark, children's data, liability of counsel); landlord LOI; anchor and rail LOIs; sponsor Rung 0; fixture pilot; sovereign rail live; membership terms and pricing resolution</w:t>
            </w:r>
          </w:p>
        </w:tc>
        <w:tc>
          <w:tcPr>
            <w:tcW w:type="dxa" w:w="2258"/>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Close of subscription into escrow</w:t>
            </w:r>
          </w:p>
        </w:tc>
      </w:tr>
      <w:tr>
        <w:trPr>
          <w:cantSplit/>
          <w:tblHeader w:val="false"/>
        </w:trPr>
        <w:tc>
          <w:tcPr>
            <w:tcW w:type="dxa" w:w="1300"/>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T2 — Venue-0</w:t>
            </w:r>
          </w:p>
        </w:tc>
        <w:tc>
          <w:tcPr>
            <w:tcW w:type="dxa" w:w="1300"/>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~$5M</w:t>
            </w:r>
          </w:p>
        </w:tc>
        <w:tc>
          <w:tcPr>
            <w:tcW w:type="dxa" w:w="5222"/>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Fit-out via fabrication ally; four systems at PoC scope; Stage programming and demand engine; opening; twelve months of operation and measurement</w:t>
            </w:r>
          </w:p>
        </w:tc>
        <w:tc>
          <w:tcPr>
            <w:tcW w:type="dxa" w:w="2258"/>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Signed landlord agreement; ≥ 2 rail LOIs; grocery anchor LOI; sponsor Rung 0 LOI; legal opinions delivered; canonical numbers approved; Master price resolved</w:t>
            </w:r>
          </w:p>
        </w:tc>
      </w:tr>
    </w:tbl>
    <w:p>
      <w:pPr>
        <w:spacing w:after="120"/>
      </w:pPr>
    </w:p>
    <w:p>
      <w:pPr>
        <w:pStyle w:val="Heading2"/>
      </w:pPr>
      <w:r>
        <w:rPr>
          <w:i w:val="false"/>
          <w:iCs w:val="false"/>
        </w:rPr>
        <w:t xml:space="preserve">8.3 Use of proceeds — indicative allocation for the Council</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4014"/>
        <w:gridCol w:w="880"/>
        <w:gridCol w:w="5186"/>
      </w:tblGrid>
      <w:tr>
        <w:trPr>
          <w:cantSplit/>
          <w:tblHeader/>
        </w:trPr>
        <w:tc>
          <w:tcPr>
            <w:tcW w:type="dxa" w:w="4014"/>
            <w:tcBorders>
              <w:top w:val="single" w:color="D5DBD6" w:sz="4"/>
              <w:left w:val="none" w:color="FFFFFF" w:sz="0"/>
              <w:bottom w:val="single" w:color="D5DBD6" w:sz="4"/>
              <w:right w:val="none" w:color="FFFFFF" w:sz="0"/>
            </w:tcBorders>
            <w:shd w:fill="1B2530" w:color="auto" w:val="clear"/>
            <w:tcMar>
              <w:top w:type="dxa" w:w="70"/>
              <w:left w:type="dxa" w:w="100"/>
              <w:bottom w:type="dxa" w:w="70"/>
              <w:right w:type="dxa" w:w="100"/>
            </w:tcMar>
            <w:vAlign w:val="top"/>
          </w:tcPr>
          <w:p>
            <w:pPr>
              <w:spacing w:after="0" w:line="260"/>
              <w:jc w:val="left"/>
            </w:pPr>
            <w:r>
              <w:rPr>
                <w:rFonts w:ascii="Calibri" w:cs="Calibri" w:eastAsia="Calibri" w:hAnsi="Calibri"/>
                <w:b/>
                <w:bCs/>
                <w:i w:val="false"/>
                <w:iCs w:val="false"/>
                <w:color w:val="FFFFFF"/>
                <w:sz w:val="18"/>
                <w:szCs w:val="18"/>
              </w:rPr>
              <w:t xml:space="preserve">Bucket</w:t>
            </w:r>
          </w:p>
        </w:tc>
        <w:tc>
          <w:tcPr>
            <w:tcW w:type="dxa" w:w="880"/>
            <w:tcBorders>
              <w:top w:val="single" w:color="D5DBD6" w:sz="4"/>
              <w:left w:val="none" w:color="FFFFFF" w:sz="0"/>
              <w:bottom w:val="single" w:color="D5DBD6" w:sz="4"/>
              <w:right w:val="none" w:color="FFFFFF" w:sz="0"/>
            </w:tcBorders>
            <w:shd w:fill="1B2530" w:color="auto" w:val="clear"/>
            <w:tcMar>
              <w:top w:type="dxa" w:w="70"/>
              <w:left w:type="dxa" w:w="100"/>
              <w:bottom w:type="dxa" w:w="70"/>
              <w:right w:type="dxa" w:w="100"/>
            </w:tcMar>
            <w:vAlign w:val="top"/>
          </w:tcPr>
          <w:p>
            <w:pPr>
              <w:spacing w:after="0" w:line="260"/>
              <w:jc w:val="right"/>
            </w:pPr>
            <w:r>
              <w:rPr>
                <w:rFonts w:ascii="Calibri" w:cs="Calibri" w:eastAsia="Calibri" w:hAnsi="Calibri"/>
                <w:b/>
                <w:bCs/>
                <w:i w:val="false"/>
                <w:iCs w:val="false"/>
                <w:color w:val="FFFFFF"/>
                <w:sz w:val="18"/>
                <w:szCs w:val="18"/>
              </w:rPr>
              <w:t xml:space="preserve">Share</w:t>
            </w:r>
          </w:p>
        </w:tc>
        <w:tc>
          <w:tcPr>
            <w:tcW w:type="dxa" w:w="5186"/>
            <w:tcBorders>
              <w:top w:val="single" w:color="D5DBD6" w:sz="4"/>
              <w:left w:val="none" w:color="FFFFFF" w:sz="0"/>
              <w:bottom w:val="single" w:color="D5DBD6" w:sz="4"/>
              <w:right w:val="none" w:color="FFFFFF" w:sz="0"/>
            </w:tcBorders>
            <w:shd w:fill="1B2530" w:color="auto" w:val="clear"/>
            <w:tcMar>
              <w:top w:type="dxa" w:w="70"/>
              <w:left w:type="dxa" w:w="100"/>
              <w:bottom w:type="dxa" w:w="70"/>
              <w:right w:type="dxa" w:w="100"/>
            </w:tcMar>
            <w:vAlign w:val="top"/>
          </w:tcPr>
          <w:p>
            <w:pPr>
              <w:spacing w:after="0" w:line="260"/>
              <w:jc w:val="left"/>
            </w:pPr>
            <w:r>
              <w:rPr>
                <w:rFonts w:ascii="Calibri" w:cs="Calibri" w:eastAsia="Calibri" w:hAnsi="Calibri"/>
                <w:b/>
                <w:bCs/>
                <w:i w:val="false"/>
                <w:iCs w:val="false"/>
                <w:color w:val="FFFFFF"/>
                <w:sz w:val="18"/>
                <w:szCs w:val="18"/>
              </w:rPr>
              <w:t xml:space="preserve">Notes</w:t>
            </w:r>
          </w:p>
        </w:tc>
      </w:tr>
      <w:tr>
        <w:trPr>
          <w:cantSplit/>
          <w:tblHeader w:val="false"/>
        </w:trPr>
        <w:tc>
          <w:tcPr>
            <w:tcW w:type="dxa" w:w="4014"/>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Venue-0 fit-out and Phygital Elements</w:t>
            </w:r>
          </w:p>
        </w:tc>
        <w:tc>
          <w:tcPr>
            <w:tcW w:type="dxa" w:w="88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right"/>
            </w:pPr>
            <w:r>
              <w:rPr>
                <w:rFonts w:ascii="Calibri" w:cs="Calibri" w:eastAsia="Calibri" w:hAnsi="Calibri"/>
                <w:b w:val="false"/>
                <w:bCs w:val="false"/>
                <w:i w:val="false"/>
                <w:iCs w:val="false"/>
                <w:color w:val="1B2530"/>
                <w:sz w:val="18"/>
                <w:szCs w:val="18"/>
              </w:rPr>
              <w:t xml:space="preserve">35–40%</w:t>
            </w:r>
          </w:p>
        </w:tc>
        <w:tc>
          <w:tcPr>
            <w:tcW w:type="dxa" w:w="5186"/>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Reduced by sponsor in-kind kit: charging plaza, screen hardware, lounge fit-out</w:t>
            </w:r>
          </w:p>
        </w:tc>
      </w:tr>
      <w:tr>
        <w:trPr>
          <w:cantSplit/>
          <w:tblHeader w:val="false"/>
        </w:trPr>
        <w:tc>
          <w:tcPr>
            <w:tcW w:type="dxa" w:w="4014"/>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Four systems at PoC scope + SSP certification</w:t>
            </w:r>
          </w:p>
        </w:tc>
        <w:tc>
          <w:tcPr>
            <w:tcW w:type="dxa" w:w="880"/>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right"/>
            </w:pPr>
            <w:r>
              <w:rPr>
                <w:rFonts w:ascii="Calibri" w:cs="Calibri" w:eastAsia="Calibri" w:hAnsi="Calibri"/>
                <w:b w:val="false"/>
                <w:bCs w:val="false"/>
                <w:i w:val="false"/>
                <w:iCs w:val="false"/>
                <w:color w:val="1B2530"/>
                <w:sz w:val="18"/>
                <w:szCs w:val="18"/>
              </w:rPr>
              <w:t xml:space="preserve">12–15%</w:t>
            </w:r>
          </w:p>
        </w:tc>
        <w:tc>
          <w:tcPr>
            <w:tcW w:type="dxa" w:w="5186"/>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Certification budgeted separately from integration</w:t>
            </w:r>
          </w:p>
        </w:tc>
      </w:tr>
      <w:tr>
        <w:trPr>
          <w:cantSplit/>
          <w:tblHeader w:val="false"/>
        </w:trPr>
        <w:tc>
          <w:tcPr>
            <w:tcW w:type="dxa" w:w="4014"/>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Demand engine: Stage programming, anchor and creator traffic, launch</w:t>
            </w:r>
          </w:p>
        </w:tc>
        <w:tc>
          <w:tcPr>
            <w:tcW w:type="dxa" w:w="88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right"/>
            </w:pPr>
            <w:r>
              <w:rPr>
                <w:rFonts w:ascii="Calibri" w:cs="Calibri" w:eastAsia="Calibri" w:hAnsi="Calibri"/>
                <w:b w:val="false"/>
                <w:bCs w:val="false"/>
                <w:i w:val="false"/>
                <w:iCs w:val="false"/>
                <w:color w:val="1B2530"/>
                <w:sz w:val="18"/>
                <w:szCs w:val="18"/>
              </w:rPr>
              <w:t xml:space="preserve">12–15%</w:t>
            </w:r>
          </w:p>
        </w:tc>
        <w:tc>
          <w:tcPr>
            <w:tcW w:type="dxa" w:w="5186"/>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The eighth line the original P&amp;L lacked</w:t>
            </w:r>
          </w:p>
        </w:tc>
      </w:tr>
      <w:tr>
        <w:trPr>
          <w:cantSplit/>
          <w:tblHeader w:val="false"/>
        </w:trPr>
        <w:tc>
          <w:tcPr>
            <w:tcW w:type="dxa" w:w="4014"/>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Legal, structuring, opinions, escrow, compliance</w:t>
            </w:r>
          </w:p>
        </w:tc>
        <w:tc>
          <w:tcPr>
            <w:tcW w:type="dxa" w:w="880"/>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right"/>
            </w:pPr>
            <w:r>
              <w:rPr>
                <w:rFonts w:ascii="Calibri" w:cs="Calibri" w:eastAsia="Calibri" w:hAnsi="Calibri"/>
                <w:b w:val="false"/>
                <w:bCs w:val="false"/>
                <w:i w:val="false"/>
                <w:iCs w:val="false"/>
                <w:color w:val="1B2530"/>
                <w:sz w:val="18"/>
                <w:szCs w:val="18"/>
              </w:rPr>
              <w:t xml:space="preserve">8–10%</w:t>
            </w:r>
          </w:p>
        </w:tc>
        <w:tc>
          <w:tcPr>
            <w:tcW w:type="dxa" w:w="5186"/>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Legal Ally economics are equity; this covers third-party and filing costs</w:t>
            </w:r>
          </w:p>
        </w:tc>
      </w:tr>
      <w:tr>
        <w:trPr>
          <w:cantSplit/>
          <w:tblHeader w:val="false"/>
        </w:trPr>
        <w:tc>
          <w:tcPr>
            <w:tcW w:type="dxa" w:w="4014"/>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Working capital and first-loss reserve</w:t>
            </w:r>
          </w:p>
        </w:tc>
        <w:tc>
          <w:tcPr>
            <w:tcW w:type="dxa" w:w="88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right"/>
            </w:pPr>
            <w:r>
              <w:rPr>
                <w:rFonts w:ascii="Calibri" w:cs="Calibri" w:eastAsia="Calibri" w:hAnsi="Calibri"/>
                <w:b w:val="false"/>
                <w:bCs w:val="false"/>
                <w:i w:val="false"/>
                <w:iCs w:val="false"/>
                <w:color w:val="1B2530"/>
                <w:sz w:val="18"/>
                <w:szCs w:val="18"/>
              </w:rPr>
              <w:t xml:space="preserve">12–15%</w:t>
            </w:r>
          </w:p>
        </w:tc>
        <w:tc>
          <w:tcPr>
            <w:tcW w:type="dxa" w:w="5186"/>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Covers ramp years under the landlord floor guarantee</w:t>
            </w:r>
          </w:p>
        </w:tc>
      </w:tr>
      <w:tr>
        <w:trPr>
          <w:cantSplit/>
          <w:tblHeader w:val="false"/>
        </w:trPr>
        <w:tc>
          <w:tcPr>
            <w:tcW w:type="dxa" w:w="4014"/>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Venue team (10–15) and G&amp;A</w:t>
            </w:r>
          </w:p>
        </w:tc>
        <w:tc>
          <w:tcPr>
            <w:tcW w:type="dxa" w:w="880"/>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right"/>
            </w:pPr>
            <w:r>
              <w:rPr>
                <w:rFonts w:ascii="Calibri" w:cs="Calibri" w:eastAsia="Calibri" w:hAnsi="Calibri"/>
                <w:b w:val="false"/>
                <w:bCs w:val="false"/>
                <w:i w:val="false"/>
                <w:iCs w:val="false"/>
                <w:color w:val="1B2530"/>
                <w:sz w:val="18"/>
                <w:szCs w:val="18"/>
              </w:rPr>
              <w:t xml:space="preserve">10–12%</w:t>
            </w:r>
          </w:p>
        </w:tc>
        <w:tc>
          <w:tcPr>
            <w:tcW w:type="dxa" w:w="5186"/>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Lean by design: $0.50/sqft/month building opex</w:t>
            </w:r>
          </w:p>
        </w:tc>
      </w:tr>
    </w:tbl>
    <w:p>
      <w:pPr>
        <w:spacing w:after="120"/>
      </w:pPr>
    </w:p>
    <w:p>
      <w:pPr>
        <w:pStyle w:val="Heading2"/>
      </w:pPr>
      <w:r>
        <w:rPr>
          <w:i w:val="false"/>
          <w:iCs w:val="false"/>
        </w:rPr>
        <w:t xml:space="preserve">8.4 What the money is not for</w:t>
      </w:r>
    </w:p>
    <w:p>
      <w:pPr>
        <w:pStyle w:val="ListParagraph"/>
        <w:numPr>
          <w:ilvl w:val="0"/>
          <w:numId w:val="3"/>
        </w:numPr>
        <w:spacing w:after="80" w:line="290"/>
      </w:pPr>
      <w:r>
        <w:rPr>
          <w:i w:val="false"/>
          <w:iCs w:val="false"/>
        </w:rPr>
        <w:t xml:space="preserve">A factory acquisition (~$50M) — only on a second venue's order.</w:t>
      </w:r>
    </w:p>
    <w:p>
      <w:pPr>
        <w:pStyle w:val="ListParagraph"/>
        <w:numPr>
          <w:ilvl w:val="0"/>
          <w:numId w:val="3"/>
        </w:numPr>
        <w:spacing w:after="80" w:line="290"/>
      </w:pPr>
      <w:r>
        <w:rPr>
          <w:i w:val="false"/>
          <w:iCs w:val="false"/>
        </w:rPr>
        <w:t xml:space="preserve">The PEIT / REIT structure — scale phase.</w:t>
      </w:r>
    </w:p>
    <w:p>
      <w:pPr>
        <w:pStyle w:val="ListParagraph"/>
        <w:numPr>
          <w:ilvl w:val="0"/>
          <w:numId w:val="3"/>
        </w:numPr>
        <w:spacing w:after="80" w:line="290"/>
      </w:pPr>
      <w:r>
        <w:rPr>
          <w:i w:val="false"/>
          <w:iCs w:val="false"/>
        </w:rPr>
        <w:t xml:space="preserve">A second location — not without four quarters of data.</w:t>
      </w:r>
    </w:p>
    <w:p>
      <w:pPr>
        <w:pStyle w:val="ListParagraph"/>
        <w:numPr>
          <w:ilvl w:val="0"/>
          <w:numId w:val="3"/>
        </w:numPr>
        <w:spacing w:after="80" w:line="290"/>
      </w:pPr>
      <w:r>
        <w:rPr>
          <w:i w:val="false"/>
          <w:iCs w:val="false"/>
        </w:rPr>
        <w:t xml:space="preserve">In-house grocery operation to replace a lost anchor — a separate company (cold chain, shrink, buying power, licensing); recommended for separate deliberation.</w:t>
      </w:r>
    </w:p>
    <w:p>
      <w:pPr>
        <w:pStyle w:val="ListParagraph"/>
        <w:numPr>
          <w:ilvl w:val="0"/>
          <w:numId w:val="3"/>
        </w:numPr>
        <w:spacing w:after="80" w:line="290"/>
      </w:pPr>
      <w:r>
        <w:rPr>
          <w:i w:val="false"/>
          <w:iCs w:val="false"/>
        </w:rPr>
        <w:t xml:space="preserve">Ultra-fast-fashion tenants, discounted creator tiers, digital twins, teleportation.</w:t>
      </w:r>
    </w:p>
    <w:p>
      <w:r>
        <w:br w:type="page"/>
      </w:r>
    </w:p>
    <w:p>
      <w:pPr>
        <w:pStyle w:val="Heading1"/>
      </w:pPr>
      <w:r>
        <w:rPr>
          <w:color w:val="0F5F5C"/>
        </w:rPr>
        <w:t xml:space="preserve">9 </w:t>
      </w:r>
      <w:r>
        <w:t xml:space="preserve">The sequence playbook — who signs when</w:t>
      </w:r>
    </w:p>
    <w:p>
      <w:pPr>
        <w:spacing w:after="140" w:line="300"/>
      </w:pPr>
      <w:r>
        <w:rPr>
          <w:i w:val="false"/>
          <w:iCs w:val="false"/>
        </w:rPr>
        <w:t xml:space="preserve">A naming sponsor buys traffic; anchors and infrastructure create it; the Legal Ally makes all of it fit for US law. The door comes last.</w:t>
      </w:r>
    </w:p>
    <w:p>
      <w:pPr>
        <w:pStyle w:val="Heading2"/>
      </w:pPr>
      <w:r>
        <w:rPr>
          <w:i w:val="false"/>
          <w:iCs w:val="false"/>
        </w:rPr>
        <w:t xml:space="preserve">Phase 0 — Spine (T1, months 0–3)</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660"/>
        <w:gridCol w:w="7207"/>
        <w:gridCol w:w="2213"/>
      </w:tblGrid>
      <w:tr>
        <w:trPr>
          <w:cantSplit/>
          <w:tblHeader/>
        </w:trPr>
        <w:tc>
          <w:tcPr>
            <w:tcW w:type="dxa" w:w="660"/>
            <w:tcBorders>
              <w:top w:val="single" w:color="D5DBD6" w:sz="4"/>
              <w:left w:val="none" w:color="FFFFFF" w:sz="0"/>
              <w:bottom w:val="single" w:color="D5DBD6" w:sz="4"/>
              <w:right w:val="none" w:color="FFFFFF" w:sz="0"/>
            </w:tcBorders>
            <w:shd w:fill="1B2530" w:color="auto" w:val="clear"/>
            <w:tcMar>
              <w:top w:type="dxa" w:w="70"/>
              <w:left w:type="dxa" w:w="100"/>
              <w:bottom w:type="dxa" w:w="70"/>
              <w:right w:type="dxa" w:w="100"/>
            </w:tcMar>
            <w:vAlign w:val="top"/>
          </w:tcPr>
          <w:p>
            <w:pPr>
              <w:spacing w:after="0" w:line="260"/>
              <w:jc w:val="left"/>
            </w:pPr>
            <w:r>
              <w:rPr>
                <w:rFonts w:ascii="Calibri" w:cs="Calibri" w:eastAsia="Calibri" w:hAnsi="Calibri"/>
                <w:b/>
                <w:bCs/>
                <w:i w:val="false"/>
                <w:iCs w:val="false"/>
                <w:color w:val="FFFFFF"/>
                <w:sz w:val="18"/>
                <w:szCs w:val="18"/>
              </w:rPr>
              <w:t xml:space="preserve">Step</w:t>
            </w:r>
          </w:p>
        </w:tc>
        <w:tc>
          <w:tcPr>
            <w:tcW w:type="dxa" w:w="7207"/>
            <w:tcBorders>
              <w:top w:val="single" w:color="D5DBD6" w:sz="4"/>
              <w:left w:val="none" w:color="FFFFFF" w:sz="0"/>
              <w:bottom w:val="single" w:color="D5DBD6" w:sz="4"/>
              <w:right w:val="none" w:color="FFFFFF" w:sz="0"/>
            </w:tcBorders>
            <w:shd w:fill="1B2530" w:color="auto" w:val="clear"/>
            <w:tcMar>
              <w:top w:type="dxa" w:w="70"/>
              <w:left w:type="dxa" w:w="100"/>
              <w:bottom w:type="dxa" w:w="70"/>
              <w:right w:type="dxa" w:w="100"/>
            </w:tcMar>
            <w:vAlign w:val="top"/>
          </w:tcPr>
          <w:p>
            <w:pPr>
              <w:spacing w:after="0" w:line="260"/>
              <w:jc w:val="left"/>
            </w:pPr>
            <w:r>
              <w:rPr>
                <w:rFonts w:ascii="Calibri" w:cs="Calibri" w:eastAsia="Calibri" w:hAnsi="Calibri"/>
                <w:b/>
                <w:bCs/>
                <w:i w:val="false"/>
                <w:iCs w:val="false"/>
                <w:color w:val="FFFFFF"/>
                <w:sz w:val="18"/>
                <w:szCs w:val="18"/>
              </w:rPr>
              <w:t xml:space="preserve">Action</w:t>
            </w:r>
          </w:p>
        </w:tc>
        <w:tc>
          <w:tcPr>
            <w:tcW w:type="dxa" w:w="2213"/>
            <w:tcBorders>
              <w:top w:val="single" w:color="D5DBD6" w:sz="4"/>
              <w:left w:val="none" w:color="FFFFFF" w:sz="0"/>
              <w:bottom w:val="single" w:color="D5DBD6" w:sz="4"/>
              <w:right w:val="none" w:color="FFFFFF" w:sz="0"/>
            </w:tcBorders>
            <w:shd w:fill="1B2530" w:color="auto" w:val="clear"/>
            <w:tcMar>
              <w:top w:type="dxa" w:w="70"/>
              <w:left w:type="dxa" w:w="100"/>
              <w:bottom w:type="dxa" w:w="70"/>
              <w:right w:type="dxa" w:w="100"/>
            </w:tcMar>
            <w:vAlign w:val="top"/>
          </w:tcPr>
          <w:p>
            <w:pPr>
              <w:spacing w:after="0" w:line="260"/>
              <w:jc w:val="left"/>
            </w:pPr>
            <w:r>
              <w:rPr>
                <w:rFonts w:ascii="Calibri" w:cs="Calibri" w:eastAsia="Calibri" w:hAnsi="Calibri"/>
                <w:b/>
                <w:bCs/>
                <w:i w:val="false"/>
                <w:iCs w:val="false"/>
                <w:color w:val="FFFFFF"/>
                <w:sz w:val="18"/>
                <w:szCs w:val="18"/>
              </w:rPr>
              <w:t xml:space="preserve">Output</w:t>
            </w:r>
          </w:p>
        </w:tc>
      </w:tr>
      <w:tr>
        <w:trPr>
          <w:cantSplit/>
          <w:tblHeader w:val="false"/>
        </w:trPr>
        <w:tc>
          <w:tcPr>
            <w:tcW w:type="dxa" w:w="66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0.1</w:t>
            </w:r>
          </w:p>
        </w:tc>
        <w:tc>
          <w:tcPr>
            <w:tcW w:type="dxa" w:w="7207"/>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Direct conversations with the five candidate firms; present the Stewardship Mandate to the first-ranked firm</w:t>
            </w:r>
          </w:p>
        </w:tc>
        <w:tc>
          <w:tcPr>
            <w:tcW w:type="dxa" w:w="2213"/>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Legal Ally engaged on mandate terms</w:t>
            </w:r>
          </w:p>
        </w:tc>
      </w:tr>
      <w:tr>
        <w:trPr>
          <w:cantSplit/>
          <w:tblHeader w:val="false"/>
        </w:trPr>
        <w:tc>
          <w:tcPr>
            <w:tcW w:type="dxa" w:w="660"/>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0.2</w:t>
            </w:r>
          </w:p>
        </w:tc>
        <w:tc>
          <w:tcPr>
            <w:tcW w:type="dxa" w:w="7207"/>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Legal Ally draws the funnel: admission standard and document set for every position; entity stack; escrow</w:t>
            </w:r>
          </w:p>
        </w:tc>
        <w:tc>
          <w:tcPr>
            <w:tcW w:type="dxa" w:w="2213"/>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Funnel live; subscriptions into escrow</w:t>
            </w:r>
          </w:p>
        </w:tc>
      </w:tr>
      <w:tr>
        <w:trPr>
          <w:cantSplit/>
          <w:tblHeader w:val="false"/>
        </w:trPr>
        <w:tc>
          <w:tcPr>
            <w:tcW w:type="dxa" w:w="66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0.3</w:t>
            </w:r>
          </w:p>
        </w:tc>
        <w:tc>
          <w:tcPr>
            <w:tcW w:type="dxa" w:w="7207"/>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Legal opinions: "5th Wall" trademark; children's data (COPPA / CCPA-CPRA); liability of counsel in membership terms</w:t>
            </w:r>
          </w:p>
        </w:tc>
        <w:tc>
          <w:tcPr>
            <w:tcW w:type="dxa" w:w="2213"/>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Written opinions — PoC preconditions</w:t>
            </w:r>
          </w:p>
        </w:tc>
      </w:tr>
      <w:tr>
        <w:trPr>
          <w:cantSplit/>
          <w:tblHeader w:val="false"/>
        </w:trPr>
        <w:tc>
          <w:tcPr>
            <w:tcW w:type="dxa" w:w="660"/>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0.4</w:t>
            </w:r>
          </w:p>
        </w:tc>
        <w:tc>
          <w:tcPr>
            <w:tcW w:type="dxa" w:w="7207"/>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Canonical numbers page with a single owner; Position 08 resolutions taken (Master price, Arcade anchor, Emeritus funding, camera zoning, refusal, renaming)</w:t>
            </w:r>
          </w:p>
        </w:tc>
        <w:tc>
          <w:tcPr>
            <w:tcW w:type="dxa" w:w="2213"/>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One number set; membership terms drafted</w:t>
            </w:r>
          </w:p>
        </w:tc>
      </w:tr>
    </w:tbl>
    <w:p>
      <w:pPr>
        <w:spacing w:after="120"/>
      </w:pPr>
    </w:p>
    <w:p>
      <w:pPr>
        <w:pStyle w:val="Heading2"/>
      </w:pPr>
      <w:r>
        <w:rPr>
          <w:i w:val="false"/>
          <w:iCs w:val="false"/>
        </w:rPr>
        <w:t xml:space="preserve">Phase 1 — Ground and traffic (T1, months 1–4)</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660"/>
        <w:gridCol w:w="6694"/>
        <w:gridCol w:w="2726"/>
      </w:tblGrid>
      <w:tr>
        <w:trPr>
          <w:cantSplit/>
          <w:tblHeader/>
        </w:trPr>
        <w:tc>
          <w:tcPr>
            <w:tcW w:type="dxa" w:w="660"/>
            <w:tcBorders>
              <w:top w:val="single" w:color="D5DBD6" w:sz="4"/>
              <w:left w:val="none" w:color="FFFFFF" w:sz="0"/>
              <w:bottom w:val="single" w:color="D5DBD6" w:sz="4"/>
              <w:right w:val="none" w:color="FFFFFF" w:sz="0"/>
            </w:tcBorders>
            <w:shd w:fill="1B2530" w:color="auto" w:val="clear"/>
            <w:tcMar>
              <w:top w:type="dxa" w:w="70"/>
              <w:left w:type="dxa" w:w="100"/>
              <w:bottom w:type="dxa" w:w="70"/>
              <w:right w:type="dxa" w:w="100"/>
            </w:tcMar>
            <w:vAlign w:val="top"/>
          </w:tcPr>
          <w:p>
            <w:pPr>
              <w:spacing w:after="0" w:line="260"/>
              <w:jc w:val="left"/>
            </w:pPr>
            <w:r>
              <w:rPr>
                <w:rFonts w:ascii="Calibri" w:cs="Calibri" w:eastAsia="Calibri" w:hAnsi="Calibri"/>
                <w:b/>
                <w:bCs/>
                <w:i w:val="false"/>
                <w:iCs w:val="false"/>
                <w:color w:val="FFFFFF"/>
                <w:sz w:val="18"/>
                <w:szCs w:val="18"/>
              </w:rPr>
              <w:t xml:space="preserve">Step</w:t>
            </w:r>
          </w:p>
        </w:tc>
        <w:tc>
          <w:tcPr>
            <w:tcW w:type="dxa" w:w="6694"/>
            <w:tcBorders>
              <w:top w:val="single" w:color="D5DBD6" w:sz="4"/>
              <w:left w:val="none" w:color="FFFFFF" w:sz="0"/>
              <w:bottom w:val="single" w:color="D5DBD6" w:sz="4"/>
              <w:right w:val="none" w:color="FFFFFF" w:sz="0"/>
            </w:tcBorders>
            <w:shd w:fill="1B2530" w:color="auto" w:val="clear"/>
            <w:tcMar>
              <w:top w:type="dxa" w:w="70"/>
              <w:left w:type="dxa" w:w="100"/>
              <w:bottom w:type="dxa" w:w="70"/>
              <w:right w:type="dxa" w:w="100"/>
            </w:tcMar>
            <w:vAlign w:val="top"/>
          </w:tcPr>
          <w:p>
            <w:pPr>
              <w:spacing w:after="0" w:line="260"/>
              <w:jc w:val="left"/>
            </w:pPr>
            <w:r>
              <w:rPr>
                <w:rFonts w:ascii="Calibri" w:cs="Calibri" w:eastAsia="Calibri" w:hAnsi="Calibri"/>
                <w:b/>
                <w:bCs/>
                <w:i w:val="false"/>
                <w:iCs w:val="false"/>
                <w:color w:val="FFFFFF"/>
                <w:sz w:val="18"/>
                <w:szCs w:val="18"/>
              </w:rPr>
              <w:t xml:space="preserve">Action</w:t>
            </w:r>
          </w:p>
        </w:tc>
        <w:tc>
          <w:tcPr>
            <w:tcW w:type="dxa" w:w="2726"/>
            <w:tcBorders>
              <w:top w:val="single" w:color="D5DBD6" w:sz="4"/>
              <w:left w:val="none" w:color="FFFFFF" w:sz="0"/>
              <w:bottom w:val="single" w:color="D5DBD6" w:sz="4"/>
              <w:right w:val="none" w:color="FFFFFF" w:sz="0"/>
            </w:tcBorders>
            <w:shd w:fill="1B2530" w:color="auto" w:val="clear"/>
            <w:tcMar>
              <w:top w:type="dxa" w:w="70"/>
              <w:left w:type="dxa" w:w="100"/>
              <w:bottom w:type="dxa" w:w="70"/>
              <w:right w:type="dxa" w:w="100"/>
            </w:tcMar>
            <w:vAlign w:val="top"/>
          </w:tcPr>
          <w:p>
            <w:pPr>
              <w:spacing w:after="0" w:line="260"/>
              <w:jc w:val="left"/>
            </w:pPr>
            <w:r>
              <w:rPr>
                <w:rFonts w:ascii="Calibri" w:cs="Calibri" w:eastAsia="Calibri" w:hAnsi="Calibri"/>
                <w:b/>
                <w:bCs/>
                <w:i w:val="false"/>
                <w:iCs w:val="false"/>
                <w:color w:val="FFFFFF"/>
                <w:sz w:val="18"/>
                <w:szCs w:val="18"/>
              </w:rPr>
              <w:t xml:space="preserve">Output</w:t>
            </w:r>
          </w:p>
        </w:tc>
      </w:tr>
      <w:tr>
        <w:trPr>
          <w:cantSplit/>
          <w:tblHeader w:val="false"/>
        </w:trPr>
        <w:tc>
          <w:tcPr>
            <w:tcW w:type="dxa" w:w="66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1.1</w:t>
            </w:r>
          </w:p>
        </w:tc>
        <w:tc>
          <w:tcPr>
            <w:tcW w:type="dxa" w:w="6694"/>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Site file; two-track location screen (Trader Joe's footprint states / Gen Z density)</w:t>
            </w:r>
          </w:p>
        </w:tc>
        <w:tc>
          <w:tcPr>
            <w:tcW w:type="dxa" w:w="2726"/>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PoC site shortlist from the first-pass metro pool</w:t>
            </w:r>
          </w:p>
        </w:tc>
      </w:tr>
      <w:tr>
        <w:trPr>
          <w:cantSplit/>
          <w:tblHeader w:val="false"/>
        </w:trPr>
        <w:tc>
          <w:tcPr>
            <w:tcW w:type="dxa" w:w="660"/>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1.2</w:t>
            </w:r>
          </w:p>
        </w:tc>
        <w:tc>
          <w:tcPr>
            <w:tcW w:type="dxa" w:w="6694"/>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Landlord negotiation: 20% equity in place of rent; fallback management / revenue share with floor guarantee</w:t>
            </w:r>
          </w:p>
        </w:tc>
        <w:tc>
          <w:tcPr>
            <w:tcW w:type="dxa" w:w="2726"/>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Signed landlord agreement — T2 gate</w:t>
            </w:r>
          </w:p>
        </w:tc>
      </w:tr>
      <w:tr>
        <w:trPr>
          <w:cantSplit/>
          <w:tblHeader w:val="false"/>
        </w:trPr>
        <w:tc>
          <w:tcPr>
            <w:tcW w:type="dxa" w:w="66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1.3</w:t>
            </w:r>
          </w:p>
        </w:tc>
        <w:tc>
          <w:tcPr>
            <w:tcW w:type="dxa" w:w="6694"/>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Retail broker appointed; grocery anchor (Trader Joe's; Sprouts / Aldi / H Mart backups)</w:t>
            </w:r>
          </w:p>
        </w:tc>
        <w:tc>
          <w:tcPr>
            <w:tcW w:type="dxa" w:w="2726"/>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Anchor LOI — T2 gate</w:t>
            </w:r>
          </w:p>
        </w:tc>
      </w:tr>
      <w:tr>
        <w:trPr>
          <w:cantSplit/>
          <w:tblHeader w:val="false"/>
        </w:trPr>
        <w:tc>
          <w:tcPr>
            <w:tcW w:type="dxa" w:w="660"/>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1.4</w:t>
            </w:r>
          </w:p>
        </w:tc>
        <w:tc>
          <w:tcPr>
            <w:tcW w:type="dxa" w:w="6694"/>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Charging-host applications (Tesla / Mercedes HPC / Rivian)</w:t>
            </w:r>
          </w:p>
        </w:tc>
        <w:tc>
          <w:tcPr>
            <w:tcW w:type="dxa" w:w="2726"/>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Parking lot as zero-capex traffic engine</w:t>
            </w:r>
          </w:p>
        </w:tc>
      </w:tr>
      <w:tr>
        <w:trPr>
          <w:cantSplit/>
          <w:tblHeader w:val="false"/>
        </w:trPr>
        <w:tc>
          <w:tcPr>
            <w:tcW w:type="dxa" w:w="66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1.5</w:t>
            </w:r>
          </w:p>
        </w:tc>
        <w:tc>
          <w:tcPr>
            <w:tcW w:type="dxa" w:w="6694"/>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Rail wave 1: Etsy / Faire, Depop or StockX, MakerWorld / Bambu Lab, Jellycat; one screen partner</w:t>
            </w:r>
          </w:p>
        </w:tc>
        <w:tc>
          <w:tcPr>
            <w:tcW w:type="dxa" w:w="2726"/>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 2 rail LOIs, 2 Cup League anchors — T2 gate</w:t>
            </w:r>
          </w:p>
        </w:tc>
      </w:tr>
      <w:tr>
        <w:trPr>
          <w:cantSplit/>
          <w:tblHeader w:val="false"/>
        </w:trPr>
        <w:tc>
          <w:tcPr>
            <w:tcW w:type="dxa" w:w="660"/>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1.6</w:t>
            </w:r>
          </w:p>
        </w:tc>
        <w:tc>
          <w:tcPr>
            <w:tcW w:type="dxa" w:w="6694"/>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Corporate tier outreach to anchors and brands already in the funnel: allocated Arcade seats + Emeritus sessions</w:t>
            </w:r>
          </w:p>
        </w:tc>
        <w:tc>
          <w:tcPr>
            <w:tcW w:type="dxa" w:w="2726"/>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First Corporate seat commitments</w:t>
            </w:r>
          </w:p>
        </w:tc>
      </w:tr>
    </w:tbl>
    <w:p>
      <w:pPr>
        <w:spacing w:after="120"/>
      </w:pPr>
    </w:p>
    <w:p>
      <w:pPr>
        <w:pStyle w:val="Heading2"/>
      </w:pPr>
      <w:r>
        <w:rPr>
          <w:i w:val="false"/>
          <w:iCs w:val="false"/>
        </w:rPr>
        <w:t xml:space="preserve">Phase 2 — Door and media (T1 → T2, months 3–6)</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660"/>
        <w:gridCol w:w="7287"/>
        <w:gridCol w:w="2133"/>
      </w:tblGrid>
      <w:tr>
        <w:trPr>
          <w:cantSplit/>
          <w:tblHeader/>
        </w:trPr>
        <w:tc>
          <w:tcPr>
            <w:tcW w:type="dxa" w:w="660"/>
            <w:tcBorders>
              <w:top w:val="single" w:color="D5DBD6" w:sz="4"/>
              <w:left w:val="none" w:color="FFFFFF" w:sz="0"/>
              <w:bottom w:val="single" w:color="D5DBD6" w:sz="4"/>
              <w:right w:val="none" w:color="FFFFFF" w:sz="0"/>
            </w:tcBorders>
            <w:shd w:fill="1B2530" w:color="auto" w:val="clear"/>
            <w:tcMar>
              <w:top w:type="dxa" w:w="70"/>
              <w:left w:type="dxa" w:w="100"/>
              <w:bottom w:type="dxa" w:w="70"/>
              <w:right w:type="dxa" w:w="100"/>
            </w:tcMar>
            <w:vAlign w:val="top"/>
          </w:tcPr>
          <w:p>
            <w:pPr>
              <w:spacing w:after="0" w:line="260"/>
              <w:jc w:val="left"/>
            </w:pPr>
            <w:r>
              <w:rPr>
                <w:rFonts w:ascii="Calibri" w:cs="Calibri" w:eastAsia="Calibri" w:hAnsi="Calibri"/>
                <w:b/>
                <w:bCs/>
                <w:i w:val="false"/>
                <w:iCs w:val="false"/>
                <w:color w:val="FFFFFF"/>
                <w:sz w:val="18"/>
                <w:szCs w:val="18"/>
              </w:rPr>
              <w:t xml:space="preserve">Step</w:t>
            </w:r>
          </w:p>
        </w:tc>
        <w:tc>
          <w:tcPr>
            <w:tcW w:type="dxa" w:w="7287"/>
            <w:tcBorders>
              <w:top w:val="single" w:color="D5DBD6" w:sz="4"/>
              <w:left w:val="none" w:color="FFFFFF" w:sz="0"/>
              <w:bottom w:val="single" w:color="D5DBD6" w:sz="4"/>
              <w:right w:val="none" w:color="FFFFFF" w:sz="0"/>
            </w:tcBorders>
            <w:shd w:fill="1B2530" w:color="auto" w:val="clear"/>
            <w:tcMar>
              <w:top w:type="dxa" w:w="70"/>
              <w:left w:type="dxa" w:w="100"/>
              <w:bottom w:type="dxa" w:w="70"/>
              <w:right w:type="dxa" w:w="100"/>
            </w:tcMar>
            <w:vAlign w:val="top"/>
          </w:tcPr>
          <w:p>
            <w:pPr>
              <w:spacing w:after="0" w:line="260"/>
              <w:jc w:val="left"/>
            </w:pPr>
            <w:r>
              <w:rPr>
                <w:rFonts w:ascii="Calibri" w:cs="Calibri" w:eastAsia="Calibri" w:hAnsi="Calibri"/>
                <w:b/>
                <w:bCs/>
                <w:i w:val="false"/>
                <w:iCs w:val="false"/>
                <w:color w:val="FFFFFF"/>
                <w:sz w:val="18"/>
                <w:szCs w:val="18"/>
              </w:rPr>
              <w:t xml:space="preserve">Action</w:t>
            </w:r>
          </w:p>
        </w:tc>
        <w:tc>
          <w:tcPr>
            <w:tcW w:type="dxa" w:w="2133"/>
            <w:tcBorders>
              <w:top w:val="single" w:color="D5DBD6" w:sz="4"/>
              <w:left w:val="none" w:color="FFFFFF" w:sz="0"/>
              <w:bottom w:val="single" w:color="D5DBD6" w:sz="4"/>
              <w:right w:val="none" w:color="FFFFFF" w:sz="0"/>
            </w:tcBorders>
            <w:shd w:fill="1B2530" w:color="auto" w:val="clear"/>
            <w:tcMar>
              <w:top w:type="dxa" w:w="70"/>
              <w:left w:type="dxa" w:w="100"/>
              <w:bottom w:type="dxa" w:w="70"/>
              <w:right w:type="dxa" w:w="100"/>
            </w:tcMar>
            <w:vAlign w:val="top"/>
          </w:tcPr>
          <w:p>
            <w:pPr>
              <w:spacing w:after="0" w:line="260"/>
              <w:jc w:val="left"/>
            </w:pPr>
            <w:r>
              <w:rPr>
                <w:rFonts w:ascii="Calibri" w:cs="Calibri" w:eastAsia="Calibri" w:hAnsi="Calibri"/>
                <w:b/>
                <w:bCs/>
                <w:i w:val="false"/>
                <w:iCs w:val="false"/>
                <w:color w:val="FFFFFF"/>
                <w:sz w:val="18"/>
                <w:szCs w:val="18"/>
              </w:rPr>
              <w:t xml:space="preserve">Output</w:t>
            </w:r>
          </w:p>
        </w:tc>
      </w:tr>
      <w:tr>
        <w:trPr>
          <w:cantSplit/>
          <w:tblHeader w:val="false"/>
        </w:trPr>
        <w:tc>
          <w:tcPr>
            <w:tcW w:type="dxa" w:w="66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2.1</w:t>
            </w:r>
          </w:p>
        </w:tc>
        <w:tc>
          <w:tcPr>
            <w:tcW w:type="dxa" w:w="7287"/>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Beverage pouring rights; shop-in-shop corner</w:t>
            </w:r>
          </w:p>
        </w:tc>
        <w:tc>
          <w:tcPr>
            <w:tcW w:type="dxa" w:w="2133"/>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First cash category deal</w:t>
            </w:r>
          </w:p>
        </w:tc>
      </w:tr>
      <w:tr>
        <w:trPr>
          <w:cantSplit/>
          <w:tblHeader w:val="false"/>
        </w:trPr>
        <w:tc>
          <w:tcPr>
            <w:tcW w:type="dxa" w:w="660"/>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2.2</w:t>
            </w:r>
          </w:p>
        </w:tc>
        <w:tc>
          <w:tcPr>
            <w:tcW w:type="dxa" w:w="7287"/>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Sponsor Rung 0 to Kia America / Hyundai Motor Group, Toyota alternative: in-kind kit + activation budget + ROFR; title-vs-showroom carve-out for Rivian</w:t>
            </w:r>
          </w:p>
        </w:tc>
        <w:tc>
          <w:tcPr>
            <w:tcW w:type="dxa" w:w="2133"/>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Door LOI — T2 gate</w:t>
            </w:r>
          </w:p>
        </w:tc>
      </w:tr>
      <w:tr>
        <w:trPr>
          <w:cantSplit/>
          <w:tblHeader w:val="false"/>
        </w:trPr>
        <w:tc>
          <w:tcPr>
            <w:tcW w:type="dxa" w:w="66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2.3</w:t>
            </w:r>
          </w:p>
        </w:tc>
        <w:tc>
          <w:tcPr>
            <w:tcW w:type="dxa" w:w="7287"/>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Faire deep-alliance track (commercial base; equity option after pilot cohort)</w:t>
            </w:r>
          </w:p>
        </w:tc>
        <w:tc>
          <w:tcPr>
            <w:tcW w:type="dxa" w:w="2133"/>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Door 2 term sheet</w:t>
            </w:r>
          </w:p>
        </w:tc>
      </w:tr>
      <w:tr>
        <w:trPr>
          <w:cantSplit/>
          <w:tblHeader w:val="false"/>
        </w:trPr>
        <w:tc>
          <w:tcPr>
            <w:tcW w:type="dxa" w:w="660"/>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2.4</w:t>
            </w:r>
          </w:p>
        </w:tc>
        <w:tc>
          <w:tcPr>
            <w:tcW w:type="dxa" w:w="7287"/>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Three-tier brand-fit policy and conflict list; Stage Access agreement template</w:t>
            </w:r>
          </w:p>
        </w:tc>
        <w:tc>
          <w:tcPr>
            <w:tcW w:type="dxa" w:w="2133"/>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Written policies in the funnel documents</w:t>
            </w:r>
          </w:p>
        </w:tc>
      </w:tr>
    </w:tbl>
    <w:p>
      <w:pPr>
        <w:spacing w:after="120"/>
      </w:pPr>
    </w:p>
    <w:p>
      <w:pPr>
        <w:pStyle w:val="Heading2"/>
      </w:pPr>
      <w:r>
        <w:rPr>
          <w:i w:val="false"/>
          <w:iCs w:val="false"/>
        </w:rPr>
        <w:t xml:space="preserve">Phase 3 — Venue-0 (T2, months 6–12 to opening)</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660"/>
        <w:gridCol w:w="7097"/>
        <w:gridCol w:w="2323"/>
      </w:tblGrid>
      <w:tr>
        <w:trPr>
          <w:cantSplit/>
          <w:tblHeader/>
        </w:trPr>
        <w:tc>
          <w:tcPr>
            <w:tcW w:type="dxa" w:w="660"/>
            <w:tcBorders>
              <w:top w:val="single" w:color="D5DBD6" w:sz="4"/>
              <w:left w:val="none" w:color="FFFFFF" w:sz="0"/>
              <w:bottom w:val="single" w:color="D5DBD6" w:sz="4"/>
              <w:right w:val="none" w:color="FFFFFF" w:sz="0"/>
            </w:tcBorders>
            <w:shd w:fill="1B2530" w:color="auto" w:val="clear"/>
            <w:tcMar>
              <w:top w:type="dxa" w:w="70"/>
              <w:left w:type="dxa" w:w="100"/>
              <w:bottom w:type="dxa" w:w="70"/>
              <w:right w:type="dxa" w:w="100"/>
            </w:tcMar>
            <w:vAlign w:val="top"/>
          </w:tcPr>
          <w:p>
            <w:pPr>
              <w:spacing w:after="0" w:line="260"/>
              <w:jc w:val="left"/>
            </w:pPr>
            <w:r>
              <w:rPr>
                <w:rFonts w:ascii="Calibri" w:cs="Calibri" w:eastAsia="Calibri" w:hAnsi="Calibri"/>
                <w:b/>
                <w:bCs/>
                <w:i w:val="false"/>
                <w:iCs w:val="false"/>
                <w:color w:val="FFFFFF"/>
                <w:sz w:val="18"/>
                <w:szCs w:val="18"/>
              </w:rPr>
              <w:t xml:space="preserve">Step</w:t>
            </w:r>
          </w:p>
        </w:tc>
        <w:tc>
          <w:tcPr>
            <w:tcW w:type="dxa" w:w="7097"/>
            <w:tcBorders>
              <w:top w:val="single" w:color="D5DBD6" w:sz="4"/>
              <w:left w:val="none" w:color="FFFFFF" w:sz="0"/>
              <w:bottom w:val="single" w:color="D5DBD6" w:sz="4"/>
              <w:right w:val="none" w:color="FFFFFF" w:sz="0"/>
            </w:tcBorders>
            <w:shd w:fill="1B2530" w:color="auto" w:val="clear"/>
            <w:tcMar>
              <w:top w:type="dxa" w:w="70"/>
              <w:left w:type="dxa" w:w="100"/>
              <w:bottom w:type="dxa" w:w="70"/>
              <w:right w:type="dxa" w:w="100"/>
            </w:tcMar>
            <w:vAlign w:val="top"/>
          </w:tcPr>
          <w:p>
            <w:pPr>
              <w:spacing w:after="0" w:line="260"/>
              <w:jc w:val="left"/>
            </w:pPr>
            <w:r>
              <w:rPr>
                <w:rFonts w:ascii="Calibri" w:cs="Calibri" w:eastAsia="Calibri" w:hAnsi="Calibri"/>
                <w:b/>
                <w:bCs/>
                <w:i w:val="false"/>
                <w:iCs w:val="false"/>
                <w:color w:val="FFFFFF"/>
                <w:sz w:val="18"/>
                <w:szCs w:val="18"/>
              </w:rPr>
              <w:t xml:space="preserve">Action</w:t>
            </w:r>
          </w:p>
        </w:tc>
        <w:tc>
          <w:tcPr>
            <w:tcW w:type="dxa" w:w="2323"/>
            <w:tcBorders>
              <w:top w:val="single" w:color="D5DBD6" w:sz="4"/>
              <w:left w:val="none" w:color="FFFFFF" w:sz="0"/>
              <w:bottom w:val="single" w:color="D5DBD6" w:sz="4"/>
              <w:right w:val="none" w:color="FFFFFF" w:sz="0"/>
            </w:tcBorders>
            <w:shd w:fill="1B2530" w:color="auto" w:val="clear"/>
            <w:tcMar>
              <w:top w:type="dxa" w:w="70"/>
              <w:left w:type="dxa" w:w="100"/>
              <w:bottom w:type="dxa" w:w="70"/>
              <w:right w:type="dxa" w:w="100"/>
            </w:tcMar>
            <w:vAlign w:val="top"/>
          </w:tcPr>
          <w:p>
            <w:pPr>
              <w:spacing w:after="0" w:line="260"/>
              <w:jc w:val="left"/>
            </w:pPr>
            <w:r>
              <w:rPr>
                <w:rFonts w:ascii="Calibri" w:cs="Calibri" w:eastAsia="Calibri" w:hAnsi="Calibri"/>
                <w:b/>
                <w:bCs/>
                <w:i w:val="false"/>
                <w:iCs w:val="false"/>
                <w:color w:val="FFFFFF"/>
                <w:sz w:val="18"/>
                <w:szCs w:val="18"/>
              </w:rPr>
              <w:t xml:space="preserve">Output</w:t>
            </w:r>
          </w:p>
        </w:tc>
      </w:tr>
      <w:tr>
        <w:trPr>
          <w:cantSplit/>
          <w:tblHeader w:val="false"/>
        </w:trPr>
        <w:tc>
          <w:tcPr>
            <w:tcW w:type="dxa" w:w="66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3.1</w:t>
            </w:r>
          </w:p>
        </w:tc>
        <w:tc>
          <w:tcPr>
            <w:tcW w:type="dxa" w:w="7097"/>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Fit-out via fabrication ally; Phygital Elements installed; sponsor kit delivered; camera zones posted; Arcade physically separated from Emeritus session floor</w:t>
            </w:r>
          </w:p>
        </w:tc>
        <w:tc>
          <w:tcPr>
            <w:tcW w:type="dxa" w:w="2323"/>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Opening-ready floor</w:t>
            </w:r>
          </w:p>
        </w:tc>
      </w:tr>
      <w:tr>
        <w:trPr>
          <w:cantSplit/>
          <w:tblHeader w:val="false"/>
        </w:trPr>
        <w:tc>
          <w:tcPr>
            <w:tcW w:type="dxa" w:w="660"/>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3.2</w:t>
            </w:r>
          </w:p>
        </w:tc>
        <w:tc>
          <w:tcPr>
            <w:tcW w:type="dxa" w:w="7097"/>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Sovereign rail (OffNdOn) live eight weeks before opening; Guest registration instruments (locker, returns, twin pick-up) live</w:t>
            </w:r>
          </w:p>
        </w:tc>
        <w:tc>
          <w:tcPr>
            <w:tcW w:type="dxa" w:w="2323"/>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Booking and registration flows tested end to end</w:t>
            </w:r>
          </w:p>
        </w:tc>
      </w:tr>
      <w:tr>
        <w:trPr>
          <w:cantSplit/>
          <w:tblHeader w:val="false"/>
        </w:trPr>
        <w:tc>
          <w:tcPr>
            <w:tcW w:type="dxa" w:w="66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3.3</w:t>
            </w:r>
          </w:p>
        </w:tc>
        <w:tc>
          <w:tcPr>
            <w:tcW w:type="dxa" w:w="7097"/>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Four systems at PoC scope; written manual fallback for any system not running at opening</w:t>
            </w:r>
          </w:p>
        </w:tc>
        <w:tc>
          <w:tcPr>
            <w:tcW w:type="dxa" w:w="2323"/>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90-day no-fallback target</w:t>
            </w:r>
          </w:p>
        </w:tc>
      </w:tr>
      <w:tr>
        <w:trPr>
          <w:cantSplit/>
          <w:tblHeader w:val="false"/>
        </w:trPr>
        <w:tc>
          <w:tcPr>
            <w:tcW w:type="dxa" w:w="660"/>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3.4</w:t>
            </w:r>
          </w:p>
        </w:tc>
        <w:tc>
          <w:tcPr>
            <w:tcW w:type="dxa" w:w="7097"/>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Stage programming calendar and budget (6–8% of gross); Emeritus vetting and first session programme</w:t>
            </w:r>
          </w:p>
        </w:tc>
        <w:tc>
          <w:tcPr>
            <w:tcW w:type="dxa" w:w="2323"/>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Demand engine funded; teaching bench seated</w:t>
            </w:r>
          </w:p>
        </w:tc>
      </w:tr>
      <w:tr>
        <w:trPr>
          <w:cantSplit/>
          <w:tblHeader w:val="false"/>
        </w:trPr>
        <w:tc>
          <w:tcPr>
            <w:tcW w:type="dxa" w:w="66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3.5</w:t>
            </w:r>
          </w:p>
        </w:tc>
        <w:tc>
          <w:tcPr>
            <w:tcW w:type="dxa" w:w="7097"/>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Third-party footfall counting and screen reporting ready on day one; membership dashboard live</w:t>
            </w:r>
          </w:p>
        </w:tc>
        <w:tc>
          <w:tcPr>
            <w:tcW w:type="dxa" w:w="2323"/>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Sponsor thresholds and membership health measurable</w:t>
            </w:r>
          </w:p>
        </w:tc>
      </w:tr>
    </w:tbl>
    <w:p>
      <w:pPr>
        <w:spacing w:after="120"/>
      </w:pPr>
    </w:p>
    <w:p>
      <w:pPr>
        <w:pStyle w:val="Heading2"/>
      </w:pPr>
      <w:r>
        <w:rPr>
          <w:i w:val="false"/>
          <w:iCs w:val="false"/>
        </w:rPr>
        <w:t xml:space="preserve">Phase 4 — Proof year (V0 → V0 + 12)</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421"/>
        <w:gridCol w:w="5435"/>
        <w:gridCol w:w="3224"/>
      </w:tblGrid>
      <w:tr>
        <w:trPr>
          <w:cantSplit/>
          <w:tblHeader/>
        </w:trPr>
        <w:tc>
          <w:tcPr>
            <w:tcW w:type="dxa" w:w="1421"/>
            <w:tcBorders>
              <w:top w:val="single" w:color="D5DBD6" w:sz="4"/>
              <w:left w:val="none" w:color="FFFFFF" w:sz="0"/>
              <w:bottom w:val="single" w:color="D5DBD6" w:sz="4"/>
              <w:right w:val="none" w:color="FFFFFF" w:sz="0"/>
            </w:tcBorders>
            <w:shd w:fill="1B2530" w:color="auto" w:val="clear"/>
            <w:tcMar>
              <w:top w:type="dxa" w:w="70"/>
              <w:left w:type="dxa" w:w="100"/>
              <w:bottom w:type="dxa" w:w="70"/>
              <w:right w:type="dxa" w:w="100"/>
            </w:tcMar>
            <w:vAlign w:val="top"/>
          </w:tcPr>
          <w:p>
            <w:pPr>
              <w:spacing w:after="0" w:line="260"/>
              <w:jc w:val="left"/>
            </w:pPr>
            <w:r>
              <w:rPr>
                <w:rFonts w:ascii="Calibri" w:cs="Calibri" w:eastAsia="Calibri" w:hAnsi="Calibri"/>
                <w:b/>
                <w:bCs/>
                <w:i w:val="false"/>
                <w:iCs w:val="false"/>
                <w:color w:val="FFFFFF"/>
                <w:sz w:val="18"/>
                <w:szCs w:val="18"/>
              </w:rPr>
              <w:t xml:space="preserve">Window</w:t>
            </w:r>
          </w:p>
        </w:tc>
        <w:tc>
          <w:tcPr>
            <w:tcW w:type="dxa" w:w="5435"/>
            <w:tcBorders>
              <w:top w:val="single" w:color="D5DBD6" w:sz="4"/>
              <w:left w:val="none" w:color="FFFFFF" w:sz="0"/>
              <w:bottom w:val="single" w:color="D5DBD6" w:sz="4"/>
              <w:right w:val="none" w:color="FFFFFF" w:sz="0"/>
            </w:tcBorders>
            <w:shd w:fill="1B2530" w:color="auto" w:val="clear"/>
            <w:tcMar>
              <w:top w:type="dxa" w:w="70"/>
              <w:left w:type="dxa" w:w="100"/>
              <w:bottom w:type="dxa" w:w="70"/>
              <w:right w:type="dxa" w:w="100"/>
            </w:tcMar>
            <w:vAlign w:val="top"/>
          </w:tcPr>
          <w:p>
            <w:pPr>
              <w:spacing w:after="0" w:line="260"/>
              <w:jc w:val="left"/>
            </w:pPr>
            <w:r>
              <w:rPr>
                <w:rFonts w:ascii="Calibri" w:cs="Calibri" w:eastAsia="Calibri" w:hAnsi="Calibri"/>
                <w:b/>
                <w:bCs/>
                <w:i w:val="false"/>
                <w:iCs w:val="false"/>
                <w:color w:val="FFFFFF"/>
                <w:sz w:val="18"/>
                <w:szCs w:val="18"/>
              </w:rPr>
              <w:t xml:space="preserve">Action</w:t>
            </w:r>
          </w:p>
        </w:tc>
        <w:tc>
          <w:tcPr>
            <w:tcW w:type="dxa" w:w="3224"/>
            <w:tcBorders>
              <w:top w:val="single" w:color="D5DBD6" w:sz="4"/>
              <w:left w:val="none" w:color="FFFFFF" w:sz="0"/>
              <w:bottom w:val="single" w:color="D5DBD6" w:sz="4"/>
              <w:right w:val="none" w:color="FFFFFF" w:sz="0"/>
            </w:tcBorders>
            <w:shd w:fill="1B2530" w:color="auto" w:val="clear"/>
            <w:tcMar>
              <w:top w:type="dxa" w:w="70"/>
              <w:left w:type="dxa" w:w="100"/>
              <w:bottom w:type="dxa" w:w="70"/>
              <w:right w:type="dxa" w:w="100"/>
            </w:tcMar>
            <w:vAlign w:val="top"/>
          </w:tcPr>
          <w:p>
            <w:pPr>
              <w:spacing w:after="0" w:line="260"/>
              <w:jc w:val="left"/>
            </w:pPr>
            <w:r>
              <w:rPr>
                <w:rFonts w:ascii="Calibri" w:cs="Calibri" w:eastAsia="Calibri" w:hAnsi="Calibri"/>
                <w:b/>
                <w:bCs/>
                <w:i w:val="false"/>
                <w:iCs w:val="false"/>
                <w:color w:val="FFFFFF"/>
                <w:sz w:val="18"/>
                <w:szCs w:val="18"/>
              </w:rPr>
              <w:t xml:space="preserve">Instrument</w:t>
            </w:r>
          </w:p>
        </w:tc>
      </w:tr>
      <w:tr>
        <w:trPr>
          <w:cantSplit/>
          <w:tblHeader w:val="false"/>
        </w:trPr>
        <w:tc>
          <w:tcPr>
            <w:tcW w:type="dxa" w:w="1421"/>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V0 → +6 weeks</w:t>
            </w:r>
          </w:p>
        </w:tc>
        <w:tc>
          <w:tcPr>
            <w:tcW w:type="dxa" w:w="5435"/>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PingPod listed on DOOH SSPs (Vistar, Place Exchange, Broadsign)</w:t>
            </w:r>
          </w:p>
        </w:tc>
        <w:tc>
          <w:tcPr>
            <w:tcW w:type="dxa" w:w="3224"/>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Bookable screen-hours, fill rate, eCPM</w:t>
            </w:r>
          </w:p>
        </w:tc>
      </w:tr>
      <w:tr>
        <w:trPr>
          <w:cantSplit/>
          <w:tblHeader w:val="false"/>
        </w:trPr>
        <w:tc>
          <w:tcPr>
            <w:tcW w:type="dxa" w:w="1421"/>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V0 → +90 days</w:t>
            </w:r>
          </w:p>
        </w:tc>
        <w:tc>
          <w:tcPr>
            <w:tcW w:type="dxa" w:w="5435"/>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First ninety-day activation cohort matures</w:t>
            </w:r>
          </w:p>
        </w:tc>
        <w:tc>
          <w:tcPr>
            <w:tcW w:type="dxa" w:w="3224"/>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Guest → Master conversion; 90-day activation ≥ 70%</w:t>
            </w:r>
          </w:p>
        </w:tc>
      </w:tr>
      <w:tr>
        <w:trPr>
          <w:cantSplit/>
          <w:tblHeader w:val="false"/>
        </w:trPr>
        <w:tc>
          <w:tcPr>
            <w:tcW w:type="dxa" w:w="1421"/>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V0 → +2 quarters</w:t>
            </w:r>
          </w:p>
        </w:tc>
        <w:tc>
          <w:tcPr>
            <w:tcW w:type="dxa" w:w="5435"/>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Measurement certification</w:t>
            </w:r>
          </w:p>
        </w:tc>
        <w:tc>
          <w:tcPr>
            <w:tcW w:type="dxa" w:w="3224"/>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DSP demand unlocked</w:t>
            </w:r>
          </w:p>
        </w:tc>
      </w:tr>
      <w:tr>
        <w:trPr>
          <w:cantSplit/>
          <w:tblHeader w:val="false"/>
        </w:trPr>
        <w:tc>
          <w:tcPr>
            <w:tcW w:type="dxa" w:w="1421"/>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V0 +1 → +2 quarters</w:t>
            </w:r>
          </w:p>
        </w:tc>
        <w:tc>
          <w:tcPr>
            <w:tcW w:type="dxa" w:w="5435"/>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Faire pilot cohort of 100 Cup League brands</w:t>
            </w:r>
          </w:p>
        </w:tc>
        <w:tc>
          <w:tcPr>
            <w:tcW w:type="dxa" w:w="3224"/>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Faire → Atmosphere conversions</w:t>
            </w:r>
          </w:p>
        </w:tc>
      </w:tr>
      <w:tr>
        <w:trPr>
          <w:cantSplit/>
          <w:tblHeader w:val="false"/>
        </w:trPr>
        <w:tc>
          <w:tcPr>
            <w:tcW w:type="dxa" w:w="1421"/>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V0 +2 → +3 quarters</w:t>
            </w:r>
          </w:p>
        </w:tc>
        <w:tc>
          <w:tcPr>
            <w:tcW w:type="dxa" w:w="5435"/>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Shopify "Atmosphere Physical Channel" app; closed-loop physical ROAS</w:t>
            </w:r>
          </w:p>
        </w:tc>
        <w:tc>
          <w:tcPr>
            <w:tcW w:type="dxa" w:w="3224"/>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Installs, active campaigns, ARPU</w:t>
            </w:r>
          </w:p>
        </w:tc>
      </w:tr>
      <w:tr>
        <w:trPr>
          <w:cantSplit/>
          <w:tblHeader w:val="false"/>
        </w:trPr>
        <w:tc>
          <w:tcPr>
            <w:tcW w:type="dxa" w:w="1421"/>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 V0 +4 quarters</w:t>
            </w:r>
          </w:p>
        </w:tc>
        <w:tc>
          <w:tcPr>
            <w:tcW w:type="dxa" w:w="5435"/>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Certified Partner program on identical rate card; sponsor Rung 1 cash thresholds switch on</w:t>
            </w:r>
          </w:p>
        </w:tc>
        <w:tc>
          <w:tcPr>
            <w:tcW w:type="dxa" w:w="3224"/>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Enrollments; rail concentration ≤ one-third</w:t>
            </w:r>
          </w:p>
        </w:tc>
      </w:tr>
      <w:tr>
        <w:trPr>
          <w:cantSplit/>
          <w:tblHeader w:val="false"/>
        </w:trPr>
        <w:tc>
          <w:tcPr>
            <w:tcW w:type="dxa" w:w="1421"/>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V0 +12</w:t>
            </w:r>
          </w:p>
        </w:tc>
        <w:tc>
          <w:tcPr>
            <w:tcW w:type="dxa" w:w="5435"/>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Measured RevPAM at three scales; tenured renewal and non-dues ratio reported</w:t>
            </w:r>
          </w:p>
        </w:tc>
        <w:tc>
          <w:tcPr>
            <w:tcW w:type="dxa" w:w="3224"/>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The repricing milestone</w:t>
            </w:r>
          </w:p>
        </w:tc>
      </w:tr>
    </w:tbl>
    <w:p>
      <w:pPr>
        <w:spacing w:after="120"/>
      </w:pPr>
    </w:p>
    <w:p>
      <w:r>
        <w:br w:type="page"/>
      </w:r>
    </w:p>
    <w:p>
      <w:pPr>
        <w:pStyle w:val="Heading1"/>
      </w:pPr>
      <w:r>
        <w:rPr>
          <w:color w:val="0F5F5C"/>
        </w:rPr>
        <w:t xml:space="preserve">10 </w:t>
      </w:r>
      <w:r>
        <w:t xml:space="preserve">Governance and structure</w:t>
      </w:r>
    </w:p>
    <w:p>
      <w:pPr>
        <w:pStyle w:val="Heading2"/>
      </w:pPr>
      <w:r>
        <w:rPr>
          <w:i w:val="false"/>
          <w:iCs w:val="false"/>
        </w:rPr>
        <w:t xml:space="preserve">10.1 Corporate stack</w:t>
      </w:r>
    </w:p>
    <w:p>
      <w:pPr>
        <w:pStyle w:val="ListParagraph"/>
        <w:numPr>
          <w:ilvl w:val="0"/>
          <w:numId w:val="3"/>
        </w:numPr>
        <w:spacing w:after="80" w:line="290"/>
      </w:pPr>
      <w:r>
        <w:rPr>
          <w:b/>
          <w:bCs/>
          <w:i w:val="false"/>
          <w:iCs w:val="false"/>
        </w:rPr>
        <w:t xml:space="preserve">PoC:</w:t>
      </w:r>
      <w:r>
        <w:rPr>
          <w:i w:val="false"/>
          <w:iCs w:val="false"/>
        </w:rPr>
        <w:t xml:space="preserve"> a single OpCo LLC under a management / revenue-share agreement with the landlord — the simplest structure a lender and an investor can read.</w:t>
      </w:r>
    </w:p>
    <w:p>
      <w:pPr>
        <w:pStyle w:val="ListParagraph"/>
        <w:numPr>
          <w:ilvl w:val="0"/>
          <w:numId w:val="3"/>
        </w:numPr>
        <w:spacing w:after="80" w:line="290"/>
      </w:pPr>
      <w:r>
        <w:rPr>
          <w:b/>
          <w:bCs/>
          <w:i w:val="false"/>
          <w:iCs w:val="false"/>
        </w:rPr>
        <w:t xml:space="preserve">Scale:</w:t>
      </w:r>
      <w:r>
        <w:rPr>
          <w:i w:val="false"/>
          <w:iCs w:val="false"/>
        </w:rPr>
        <w:t xml:space="preserve"> PropCo (real-asset relationship) / OpCo-TRS (operations) / MemberCo (recurring-revenue community layer), with the IP holding structure beneath ALA. The PEIT™ name and tax design are held ready; first needed at the third venue with the first institutional PropCo partner.</w:t>
      </w:r>
    </w:p>
    <w:p>
      <w:pPr>
        <w:pStyle w:val="ListParagraph"/>
        <w:numPr>
          <w:ilvl w:val="0"/>
          <w:numId w:val="3"/>
        </w:numPr>
        <w:spacing w:after="80" w:line="290"/>
      </w:pPr>
      <w:r>
        <w:rPr>
          <w:b/>
          <w:bCs/>
          <w:i w:val="false"/>
          <w:iCs w:val="false"/>
        </w:rPr>
        <w:t xml:space="preserve">Golden share:</w:t>
      </w:r>
      <w:r>
        <w:rPr>
          <w:i w:val="false"/>
          <w:iCs w:val="false"/>
        </w:rPr>
        <w:t xml:space="preserve"> IP, brand and member data never leave ALA.</w:t>
      </w:r>
    </w:p>
    <w:p>
      <w:pPr>
        <w:pStyle w:val="Heading2"/>
      </w:pPr>
      <w:r>
        <w:rPr>
          <w:i w:val="false"/>
          <w:iCs w:val="false"/>
        </w:rPr>
        <w:t xml:space="preserve">10.2 Who holds what</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300"/>
        <w:gridCol w:w="5980"/>
        <w:gridCol w:w="2800"/>
      </w:tblGrid>
      <w:tr>
        <w:trPr>
          <w:cantSplit/>
          <w:tblHeader/>
        </w:trPr>
        <w:tc>
          <w:tcPr>
            <w:tcW w:type="dxa" w:w="1300"/>
            <w:tcBorders>
              <w:top w:val="single" w:color="D5DBD6" w:sz="4"/>
              <w:left w:val="none" w:color="FFFFFF" w:sz="0"/>
              <w:bottom w:val="single" w:color="D5DBD6" w:sz="4"/>
              <w:right w:val="none" w:color="FFFFFF" w:sz="0"/>
            </w:tcBorders>
            <w:shd w:fill="1B2530" w:color="auto" w:val="clear"/>
            <w:tcMar>
              <w:top w:type="dxa" w:w="70"/>
              <w:left w:type="dxa" w:w="100"/>
              <w:bottom w:type="dxa" w:w="70"/>
              <w:right w:type="dxa" w:w="100"/>
            </w:tcMar>
            <w:vAlign w:val="top"/>
          </w:tcPr>
          <w:p>
            <w:pPr>
              <w:spacing w:after="0" w:line="260"/>
              <w:jc w:val="left"/>
            </w:pPr>
            <w:r>
              <w:rPr>
                <w:rFonts w:ascii="Calibri" w:cs="Calibri" w:eastAsia="Calibri" w:hAnsi="Calibri"/>
                <w:b/>
                <w:bCs/>
                <w:i w:val="false"/>
                <w:iCs w:val="false"/>
                <w:color w:val="FFFFFF"/>
                <w:sz w:val="18"/>
                <w:szCs w:val="18"/>
              </w:rPr>
              <w:t xml:space="preserve">Party</w:t>
            </w:r>
          </w:p>
        </w:tc>
        <w:tc>
          <w:tcPr>
            <w:tcW w:type="dxa" w:w="5980"/>
            <w:tcBorders>
              <w:top w:val="single" w:color="D5DBD6" w:sz="4"/>
              <w:left w:val="none" w:color="FFFFFF" w:sz="0"/>
              <w:bottom w:val="single" w:color="D5DBD6" w:sz="4"/>
              <w:right w:val="none" w:color="FFFFFF" w:sz="0"/>
            </w:tcBorders>
            <w:shd w:fill="1B2530" w:color="auto" w:val="clear"/>
            <w:tcMar>
              <w:top w:type="dxa" w:w="70"/>
              <w:left w:type="dxa" w:w="100"/>
              <w:bottom w:type="dxa" w:w="70"/>
              <w:right w:type="dxa" w:w="100"/>
            </w:tcMar>
            <w:vAlign w:val="top"/>
          </w:tcPr>
          <w:p>
            <w:pPr>
              <w:spacing w:after="0" w:line="260"/>
              <w:jc w:val="left"/>
            </w:pPr>
            <w:r>
              <w:rPr>
                <w:rFonts w:ascii="Calibri" w:cs="Calibri" w:eastAsia="Calibri" w:hAnsi="Calibri"/>
                <w:b/>
                <w:bCs/>
                <w:i w:val="false"/>
                <w:iCs w:val="false"/>
                <w:color w:val="FFFFFF"/>
                <w:sz w:val="18"/>
                <w:szCs w:val="18"/>
              </w:rPr>
              <w:t xml:space="preserve">Holds</w:t>
            </w:r>
          </w:p>
        </w:tc>
        <w:tc>
          <w:tcPr>
            <w:tcW w:type="dxa" w:w="2800"/>
            <w:tcBorders>
              <w:top w:val="single" w:color="D5DBD6" w:sz="4"/>
              <w:left w:val="none" w:color="FFFFFF" w:sz="0"/>
              <w:bottom w:val="single" w:color="D5DBD6" w:sz="4"/>
              <w:right w:val="none" w:color="FFFFFF" w:sz="0"/>
            </w:tcBorders>
            <w:shd w:fill="1B2530" w:color="auto" w:val="clear"/>
            <w:tcMar>
              <w:top w:type="dxa" w:w="70"/>
              <w:left w:type="dxa" w:w="100"/>
              <w:bottom w:type="dxa" w:w="70"/>
              <w:right w:type="dxa" w:w="100"/>
            </w:tcMar>
            <w:vAlign w:val="top"/>
          </w:tcPr>
          <w:p>
            <w:pPr>
              <w:spacing w:after="0" w:line="260"/>
              <w:jc w:val="left"/>
            </w:pPr>
            <w:r>
              <w:rPr>
                <w:rFonts w:ascii="Calibri" w:cs="Calibri" w:eastAsia="Calibri" w:hAnsi="Calibri"/>
                <w:b/>
                <w:bCs/>
                <w:i w:val="false"/>
                <w:iCs w:val="false"/>
                <w:color w:val="FFFFFF"/>
                <w:sz w:val="18"/>
                <w:szCs w:val="18"/>
              </w:rPr>
              <w:t xml:space="preserve">Does not hold</w:t>
            </w:r>
          </w:p>
        </w:tc>
      </w:tr>
      <w:tr>
        <w:trPr>
          <w:cantSplit/>
          <w:tblHeader w:val="false"/>
        </w:trPr>
        <w:tc>
          <w:tcPr>
            <w:tcW w:type="dxa" w:w="130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Founder / ALA</w:t>
            </w:r>
          </w:p>
        </w:tc>
        <w:tc>
          <w:tcPr>
            <w:tcW w:type="dxa" w:w="598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Every counterparty and investor relationship; commercial and brand decisions; 40% in C+C+C; golden share</w:t>
            </w:r>
          </w:p>
        </w:tc>
        <w:tc>
          <w:tcPr>
            <w:tcW w:type="dxa" w:w="280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Structural or compliance veto</w:t>
            </w:r>
          </w:p>
        </w:tc>
      </w:tr>
      <w:tr>
        <w:trPr>
          <w:cantSplit/>
          <w:tblHeader w:val="false"/>
        </w:trPr>
        <w:tc>
          <w:tcPr>
            <w:tcW w:type="dxa" w:w="1300"/>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Legal Ally</w:t>
            </w:r>
          </w:p>
        </w:tc>
        <w:tc>
          <w:tcPr>
            <w:tcW w:type="dxa" w:w="5980"/>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Entity design, registrations, admission standard, structural/compliance veto, escrow</w:t>
            </w:r>
          </w:p>
        </w:tc>
        <w:tc>
          <w:tcPr>
            <w:tcW w:type="dxa" w:w="2800"/>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Commercial, brand, operating decisions; any counterparty relationship</w:t>
            </w:r>
          </w:p>
        </w:tc>
      </w:tr>
      <w:tr>
        <w:trPr>
          <w:cantSplit/>
          <w:tblHeader w:val="false"/>
        </w:trPr>
        <w:tc>
          <w:tcPr>
            <w:tcW w:type="dxa" w:w="130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Investors</w:t>
            </w:r>
          </w:p>
        </w:tc>
        <w:tc>
          <w:tcPr>
            <w:tcW w:type="dxa" w:w="598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40% in the C+C+C reference; information rights; tranche gates</w:t>
            </w:r>
          </w:p>
        </w:tc>
        <w:tc>
          <w:tcPr>
            <w:tcW w:type="dxa" w:w="280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Operating control</w:t>
            </w:r>
          </w:p>
        </w:tc>
      </w:tr>
      <w:tr>
        <w:trPr>
          <w:cantSplit/>
          <w:tblHeader w:val="false"/>
        </w:trPr>
        <w:tc>
          <w:tcPr>
            <w:tcW w:type="dxa" w:w="1300"/>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Landlord</w:t>
            </w:r>
          </w:p>
        </w:tc>
        <w:tc>
          <w:tcPr>
            <w:tcW w:type="dxa" w:w="5980"/>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20% founding equity, or revenue share with floor guarantee</w:t>
            </w:r>
          </w:p>
        </w:tc>
        <w:tc>
          <w:tcPr>
            <w:tcW w:type="dxa" w:w="2800"/>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Any claim on IP or member data</w:t>
            </w:r>
          </w:p>
        </w:tc>
      </w:tr>
      <w:tr>
        <w:trPr>
          <w:cantSplit/>
          <w:tblHeader w:val="false"/>
        </w:trPr>
        <w:tc>
          <w:tcPr>
            <w:tcW w:type="dxa" w:w="130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Sponsor</w:t>
            </w:r>
          </w:p>
        </w:tc>
        <w:tc>
          <w:tcPr>
            <w:tcW w:type="dxa" w:w="598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Name on the door, category exclusivity, screen-grid share, ROFR; purchased participation at scale</w:t>
            </w:r>
          </w:p>
        </w:tc>
        <w:tc>
          <w:tcPr>
            <w:tcW w:type="dxa" w:w="280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A royalty on gross; broad approval rights</w:t>
            </w:r>
          </w:p>
        </w:tc>
      </w:tr>
      <w:tr>
        <w:trPr>
          <w:cantSplit/>
          <w:tblHeader w:val="false"/>
        </w:trPr>
        <w:tc>
          <w:tcPr>
            <w:tcW w:type="dxa" w:w="1300"/>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Members</w:t>
            </w:r>
          </w:p>
        </w:tc>
        <w:tc>
          <w:tcPr>
            <w:tcW w:type="dxa" w:w="5980"/>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Recognition, rights per tier, a freeze in every tier, private matching</w:t>
            </w:r>
          </w:p>
        </w:tc>
        <w:tc>
          <w:tcPr>
            <w:tcW w:type="dxa" w:w="2800"/>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A stake; a claim on entry for others</w:t>
            </w:r>
          </w:p>
        </w:tc>
      </w:tr>
    </w:tbl>
    <w:p>
      <w:pPr>
        <w:spacing w:after="120"/>
      </w:pPr>
    </w:p>
    <w:p>
      <w:pPr>
        <w:pStyle w:val="Heading2"/>
      </w:pPr>
      <w:r>
        <w:rPr>
          <w:i w:val="false"/>
          <w:iCs w:val="false"/>
        </w:rPr>
        <w:t xml:space="preserve">10.3 The incubation discipline</w:t>
      </w:r>
    </w:p>
    <w:p>
      <w:pPr>
        <w:spacing w:after="140" w:line="300"/>
      </w:pPr>
      <w:r>
        <w:rPr>
          <w:i w:val="false"/>
          <w:iCs w:val="false"/>
        </w:rPr>
        <w:t xml:space="preserve">Where an anchor sponsor or lead investor requires it: full transparency of every account and counterparty; a short consent list (money above a threshold, borrowing, use of the sponsor's name, choice of counterparties, public communication, anything touching a foreign state); counsel of the sponsor's choosing retained by the company; personal indemnity and D&amp;O; a kill switch; and a sunset by milestone — first clean audit, first closed transaction, first twelve months — under which the consent list shortens. Test, not trust. No step in the chain depends on any government, anywhere.</w:t>
      </w:r>
    </w:p>
    <w:p>
      <w:pPr>
        <w:pStyle w:val="Heading2"/>
      </w:pPr>
      <w:r>
        <w:rPr>
          <w:i w:val="false"/>
          <w:iCs w:val="false"/>
        </w:rPr>
        <w:t xml:space="preserve">10.4 Household account and children's data</w:t>
      </w:r>
    </w:p>
    <w:p>
      <w:pPr>
        <w:spacing w:after="140" w:line="300"/>
      </w:pPr>
      <w:r>
        <w:rPr>
          <w:i w:val="false"/>
          <w:iCs w:val="false"/>
        </w:rPr>
        <w:t xml:space="preserve">MemberCo issues household accounts only. No individual profile, sensor matching or personalisation for anyone under 18; HuxNet's age gate defaults to closed; children's Stage events are not recorded or streamed without parental consent. Written into the funnel as the proof of empathy over extraction: the thing competitors cannot do is win the household without watching the child.</w:t>
      </w:r>
    </w:p>
    <w:p>
      <w:r>
        <w:br w:type="page"/>
      </w:r>
    </w:p>
    <w:p>
      <w:pPr>
        <w:pStyle w:val="Heading1"/>
      </w:pPr>
      <w:r>
        <w:rPr>
          <w:color w:val="0F5F5C"/>
        </w:rPr>
        <w:t xml:space="preserve">11 </w:t>
      </w:r>
      <w:r>
        <w:t xml:space="preserve">Risk register — the pressure test, in investor form</w:t>
      </w:r>
    </w:p>
    <w:p>
      <w:pPr>
        <w:spacing w:after="140" w:line="300"/>
      </w:pPr>
      <w:r>
        <w:rPr>
          <w:i w:val="false"/>
          <w:iCs w:val="false"/>
        </w:rPr>
        <w:t xml:space="preserve">Eighteen challenges are registered in the Founders' Council Handbook, Appendix I. The ones that bear on the round, with Position 08 items added:</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210"/>
        <w:gridCol w:w="1504"/>
        <w:gridCol w:w="1300"/>
        <w:gridCol w:w="4164"/>
        <w:gridCol w:w="1902"/>
      </w:tblGrid>
      <w:tr>
        <w:trPr>
          <w:cantSplit/>
          <w:tblHeader/>
        </w:trPr>
        <w:tc>
          <w:tcPr>
            <w:tcW w:type="dxa" w:w="1210"/>
            <w:tcBorders>
              <w:top w:val="single" w:color="D5DBD6" w:sz="4"/>
              <w:left w:val="none" w:color="FFFFFF" w:sz="0"/>
              <w:bottom w:val="single" w:color="D5DBD6" w:sz="4"/>
              <w:right w:val="none" w:color="FFFFFF" w:sz="0"/>
            </w:tcBorders>
            <w:shd w:fill="1B2530" w:color="auto" w:val="clear"/>
            <w:tcMar>
              <w:top w:type="dxa" w:w="70"/>
              <w:left w:type="dxa" w:w="100"/>
              <w:bottom w:type="dxa" w:w="70"/>
              <w:right w:type="dxa" w:w="100"/>
            </w:tcMar>
            <w:vAlign w:val="top"/>
          </w:tcPr>
          <w:p>
            <w:pPr>
              <w:spacing w:after="0" w:line="260"/>
              <w:jc w:val="left"/>
            </w:pPr>
            <w:r>
              <w:rPr>
                <w:rFonts w:ascii="Calibri" w:cs="Calibri" w:eastAsia="Calibri" w:hAnsi="Calibri"/>
                <w:b/>
                <w:bCs/>
                <w:i w:val="false"/>
                <w:iCs w:val="false"/>
                <w:color w:val="FFFFFF"/>
                <w:sz w:val="18"/>
                <w:szCs w:val="18"/>
              </w:rPr>
              <w:t xml:space="preserve">#</w:t>
            </w:r>
          </w:p>
        </w:tc>
        <w:tc>
          <w:tcPr>
            <w:tcW w:type="dxa" w:w="1504"/>
            <w:tcBorders>
              <w:top w:val="single" w:color="D5DBD6" w:sz="4"/>
              <w:left w:val="none" w:color="FFFFFF" w:sz="0"/>
              <w:bottom w:val="single" w:color="D5DBD6" w:sz="4"/>
              <w:right w:val="none" w:color="FFFFFF" w:sz="0"/>
            </w:tcBorders>
            <w:shd w:fill="1B2530" w:color="auto" w:val="clear"/>
            <w:tcMar>
              <w:top w:type="dxa" w:w="70"/>
              <w:left w:type="dxa" w:w="100"/>
              <w:bottom w:type="dxa" w:w="70"/>
              <w:right w:type="dxa" w:w="100"/>
            </w:tcMar>
            <w:vAlign w:val="top"/>
          </w:tcPr>
          <w:p>
            <w:pPr>
              <w:spacing w:after="0" w:line="260"/>
              <w:jc w:val="left"/>
            </w:pPr>
            <w:r>
              <w:rPr>
                <w:rFonts w:ascii="Calibri" w:cs="Calibri" w:eastAsia="Calibri" w:hAnsi="Calibri"/>
                <w:b/>
                <w:bCs/>
                <w:i w:val="false"/>
                <w:iCs w:val="false"/>
                <w:color w:val="FFFFFF"/>
                <w:sz w:val="18"/>
                <w:szCs w:val="18"/>
              </w:rPr>
              <w:t xml:space="preserve">Risk</w:t>
            </w:r>
          </w:p>
        </w:tc>
        <w:tc>
          <w:tcPr>
            <w:tcW w:type="dxa" w:w="1300"/>
            <w:tcBorders>
              <w:top w:val="single" w:color="D5DBD6" w:sz="4"/>
              <w:left w:val="none" w:color="FFFFFF" w:sz="0"/>
              <w:bottom w:val="single" w:color="D5DBD6" w:sz="4"/>
              <w:right w:val="none" w:color="FFFFFF" w:sz="0"/>
            </w:tcBorders>
            <w:shd w:fill="1B2530" w:color="auto" w:val="clear"/>
            <w:tcMar>
              <w:top w:type="dxa" w:w="70"/>
              <w:left w:type="dxa" w:w="100"/>
              <w:bottom w:type="dxa" w:w="70"/>
              <w:right w:type="dxa" w:w="100"/>
            </w:tcMar>
            <w:vAlign w:val="top"/>
          </w:tcPr>
          <w:p>
            <w:pPr>
              <w:spacing w:after="0" w:line="260"/>
              <w:jc w:val="left"/>
            </w:pPr>
            <w:r>
              <w:rPr>
                <w:rFonts w:ascii="Calibri" w:cs="Calibri" w:eastAsia="Calibri" w:hAnsi="Calibri"/>
                <w:b/>
                <w:bCs/>
                <w:i w:val="false"/>
                <w:iCs w:val="false"/>
                <w:color w:val="FFFFFF"/>
                <w:sz w:val="18"/>
                <w:szCs w:val="18"/>
              </w:rPr>
              <w:t xml:space="preserve">Status</w:t>
            </w:r>
          </w:p>
        </w:tc>
        <w:tc>
          <w:tcPr>
            <w:tcW w:type="dxa" w:w="4164"/>
            <w:tcBorders>
              <w:top w:val="single" w:color="D5DBD6" w:sz="4"/>
              <w:left w:val="none" w:color="FFFFFF" w:sz="0"/>
              <w:bottom w:val="single" w:color="D5DBD6" w:sz="4"/>
              <w:right w:val="none" w:color="FFFFFF" w:sz="0"/>
            </w:tcBorders>
            <w:shd w:fill="1B2530" w:color="auto" w:val="clear"/>
            <w:tcMar>
              <w:top w:type="dxa" w:w="70"/>
              <w:left w:type="dxa" w:w="100"/>
              <w:bottom w:type="dxa" w:w="70"/>
              <w:right w:type="dxa" w:w="100"/>
            </w:tcMar>
            <w:vAlign w:val="top"/>
          </w:tcPr>
          <w:p>
            <w:pPr>
              <w:spacing w:after="0" w:line="260"/>
              <w:jc w:val="left"/>
            </w:pPr>
            <w:r>
              <w:rPr>
                <w:rFonts w:ascii="Calibri" w:cs="Calibri" w:eastAsia="Calibri" w:hAnsi="Calibri"/>
                <w:b/>
                <w:bCs/>
                <w:i w:val="false"/>
                <w:iCs w:val="false"/>
                <w:color w:val="FFFFFF"/>
                <w:sz w:val="18"/>
                <w:szCs w:val="18"/>
              </w:rPr>
              <w:t xml:space="preserve">Mitigation in this plan</w:t>
            </w:r>
          </w:p>
        </w:tc>
        <w:tc>
          <w:tcPr>
            <w:tcW w:type="dxa" w:w="1902"/>
            <w:tcBorders>
              <w:top w:val="single" w:color="D5DBD6" w:sz="4"/>
              <w:left w:val="none" w:color="FFFFFF" w:sz="0"/>
              <w:bottom w:val="single" w:color="D5DBD6" w:sz="4"/>
              <w:right w:val="none" w:color="FFFFFF" w:sz="0"/>
            </w:tcBorders>
            <w:shd w:fill="1B2530" w:color="auto" w:val="clear"/>
            <w:tcMar>
              <w:top w:type="dxa" w:w="70"/>
              <w:left w:type="dxa" w:w="100"/>
              <w:bottom w:type="dxa" w:w="70"/>
              <w:right w:type="dxa" w:w="100"/>
            </w:tcMar>
            <w:vAlign w:val="top"/>
          </w:tcPr>
          <w:p>
            <w:pPr>
              <w:spacing w:after="0" w:line="260"/>
              <w:jc w:val="left"/>
            </w:pPr>
            <w:r>
              <w:rPr>
                <w:rFonts w:ascii="Calibri" w:cs="Calibri" w:eastAsia="Calibri" w:hAnsi="Calibri"/>
                <w:b/>
                <w:bCs/>
                <w:i w:val="false"/>
                <w:iCs w:val="false"/>
                <w:color w:val="FFFFFF"/>
                <w:sz w:val="18"/>
                <w:szCs w:val="18"/>
              </w:rPr>
              <w:t xml:space="preserve">Kill threshold (proposed)</w:t>
            </w:r>
          </w:p>
        </w:tc>
      </w:tr>
      <w:tr>
        <w:trPr>
          <w:cantSplit/>
          <w:tblHeader w:val="false"/>
        </w:trPr>
        <w:tc>
          <w:tcPr>
            <w:tcW w:type="dxa" w:w="121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C2 / C18</w:t>
            </w:r>
          </w:p>
        </w:tc>
        <w:tc>
          <w:tcPr>
            <w:tcW w:type="dxa" w:w="1504"/>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Demand is assumed, not bought</w:t>
            </w:r>
          </w:p>
        </w:tc>
        <w:tc>
          <w:tcPr>
            <w:tcW w:type="dxa" w:w="130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Open</w:t>
            </w:r>
          </w:p>
        </w:tc>
        <w:tc>
          <w:tcPr>
            <w:tcW w:type="dxa" w:w="4164"/>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Eighth line "demand engine": anchors with own audience, sponsor traffic commitment, 6–8% Stage budget</w:t>
            </w:r>
          </w:p>
        </w:tc>
        <w:tc>
          <w:tcPr>
            <w:tcW w:type="dxa" w:w="1902"/>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Annualised visits &lt; 600K at month 6 and flat → rebuild the engine</w:t>
            </w:r>
          </w:p>
        </w:tc>
      </w:tr>
      <w:tr>
        <w:trPr>
          <w:cantSplit/>
          <w:tblHeader w:val="false"/>
        </w:trPr>
        <w:tc>
          <w:tcPr>
            <w:tcW w:type="dxa" w:w="1210"/>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C11 / C12</w:t>
            </w:r>
          </w:p>
        </w:tc>
        <w:tc>
          <w:tcPr>
            <w:tcW w:type="dxa" w:w="1504"/>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Membership line too large and undefined</w:t>
            </w:r>
          </w:p>
        </w:tc>
        <w:tc>
          <w:tcPr>
            <w:tcW w:type="dxa" w:w="1300"/>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Answered by Position 08</w:t>
            </w:r>
          </w:p>
        </w:tc>
        <w:tc>
          <w:tcPr>
            <w:tcW w:type="dxa" w:w="4164"/>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Capacity-based Arcade; Master as traffic instrument tied to concrete rights; 25–35% band; recognition, not access</w:t>
            </w:r>
          </w:p>
        </w:tc>
        <w:tc>
          <w:tcPr>
            <w:tcW w:type="dxa" w:w="1902"/>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Conversion &lt; 0.7% → reprice; Arcade occupancy &lt; 50% or churn &gt; 8%/mo at month 6 → shrink</w:t>
            </w:r>
          </w:p>
        </w:tc>
      </w:tr>
      <w:tr>
        <w:trPr>
          <w:cantSplit/>
          <w:tblHeader w:val="false"/>
        </w:trPr>
        <w:tc>
          <w:tcPr>
            <w:tcW w:type="dxa" w:w="121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C13</w:t>
            </w:r>
          </w:p>
        </w:tc>
        <w:tc>
          <w:tcPr>
            <w:tcW w:type="dxa" w:w="1504"/>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Double-counted sqft; missing cost lines</w:t>
            </w:r>
          </w:p>
        </w:tc>
        <w:tc>
          <w:tcPr>
            <w:tcW w:type="dxa" w:w="130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Open</w:t>
            </w:r>
          </w:p>
        </w:tc>
        <w:tc>
          <w:tcPr>
            <w:tcW w:type="dxa" w:w="4164"/>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Area-based model; add insurance, tax, security, marketing, tech amortisation</w:t>
            </w:r>
          </w:p>
        </w:tc>
        <w:tc>
          <w:tcPr>
            <w:tcW w:type="dxa" w:w="1902"/>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NOI margin &lt; 20% → redesign line mix and sponsor terms</w:t>
            </w:r>
          </w:p>
        </w:tc>
      </w:tr>
      <w:tr>
        <w:trPr>
          <w:cantSplit/>
          <w:tblHeader w:val="false"/>
        </w:trPr>
        <w:tc>
          <w:tcPr>
            <w:tcW w:type="dxa" w:w="1210"/>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C4 / 5-E</w:t>
            </w:r>
          </w:p>
        </w:tc>
        <w:tc>
          <w:tcPr>
            <w:tcW w:type="dxa" w:w="1504"/>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Sponsor royalty on gross would take 23% of NOI</w:t>
            </w:r>
          </w:p>
        </w:tc>
        <w:tc>
          <w:tcPr>
            <w:tcW w:type="dxa" w:w="1300"/>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Closed, restructured</w:t>
            </w:r>
          </w:p>
        </w:tc>
        <w:tc>
          <w:tcPr>
            <w:tcW w:type="dxa" w:w="4164"/>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Sponsor pays with kit; any royalty on net of selected lines only, capped; one-page waterfall</w:t>
            </w:r>
          </w:p>
        </w:tc>
        <w:tc>
          <w:tcPr>
            <w:tcW w:type="dxa" w:w="1902"/>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w:t>
            </w:r>
          </w:p>
        </w:tc>
      </w:tr>
      <w:tr>
        <w:trPr>
          <w:cantSplit/>
          <w:tblHeader w:val="false"/>
        </w:trPr>
        <w:tc>
          <w:tcPr>
            <w:tcW w:type="dxa" w:w="121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C9</w:t>
            </w:r>
          </w:p>
        </w:tc>
        <w:tc>
          <w:tcPr>
            <w:tcW w:type="dxa" w:w="1504"/>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Children's data / COPPA</w:t>
            </w:r>
          </w:p>
        </w:tc>
        <w:tc>
          <w:tcPr>
            <w:tcW w:type="dxa" w:w="130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Open</w:t>
            </w:r>
          </w:p>
        </w:tc>
        <w:tc>
          <w:tcPr>
            <w:tcW w:type="dxa" w:w="4164"/>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Household-only accounts; legal opinion is a PoC precondition</w:t>
            </w:r>
          </w:p>
        </w:tc>
        <w:tc>
          <w:tcPr>
            <w:tcW w:type="dxa" w:w="1902"/>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MemberCo does not open without the opinion</w:t>
            </w:r>
          </w:p>
        </w:tc>
      </w:tr>
      <w:tr>
        <w:trPr>
          <w:cantSplit/>
          <w:tblHeader w:val="false"/>
        </w:trPr>
        <w:tc>
          <w:tcPr>
            <w:tcW w:type="dxa" w:w="1210"/>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P08-1</w:t>
            </w:r>
          </w:p>
        </w:tc>
        <w:tc>
          <w:tcPr>
            <w:tcW w:type="dxa" w:w="1504"/>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Liability for Emeritus guidance</w:t>
            </w:r>
          </w:p>
        </w:tc>
        <w:tc>
          <w:tcPr>
            <w:tcW w:type="dxa" w:w="1300"/>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New</w:t>
            </w:r>
          </w:p>
        </w:tc>
        <w:tc>
          <w:tcPr>
            <w:tcW w:type="dxa" w:w="4164"/>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Personal-opinion clause; written referral for licensed subjects</w:t>
            </w:r>
          </w:p>
        </w:tc>
        <w:tc>
          <w:tcPr>
            <w:tcW w:type="dxa" w:w="1902"/>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Membership terms do not issue without the clause</w:t>
            </w:r>
          </w:p>
        </w:tc>
      </w:tr>
      <w:tr>
        <w:trPr>
          <w:cantSplit/>
          <w:tblHeader w:val="false"/>
        </w:trPr>
        <w:tc>
          <w:tcPr>
            <w:tcW w:type="dxa" w:w="121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P08-2</w:t>
            </w:r>
          </w:p>
        </w:tc>
        <w:tc>
          <w:tcPr>
            <w:tcW w:type="dxa" w:w="1504"/>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The camera in the building</w:t>
            </w:r>
          </w:p>
        </w:tc>
        <w:tc>
          <w:tcPr>
            <w:tcW w:type="dxa" w:w="130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New</w:t>
            </w:r>
          </w:p>
        </w:tc>
        <w:tc>
          <w:tcPr>
            <w:tcW w:type="dxa" w:w="4164"/>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Zoning attached to the place; Stage Access disclosure covenant and suspension clause</w:t>
            </w:r>
          </w:p>
        </w:tc>
        <w:tc>
          <w:tcPr>
            <w:tcW w:type="dxa" w:w="1902"/>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Adopted as building policy before any Stage Access agreement</w:t>
            </w:r>
          </w:p>
        </w:tc>
      </w:tr>
      <w:tr>
        <w:trPr>
          <w:cantSplit/>
          <w:tblHeader w:val="false"/>
        </w:trPr>
        <w:tc>
          <w:tcPr>
            <w:tcW w:type="dxa" w:w="1210"/>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P08-3</w:t>
            </w:r>
          </w:p>
        </w:tc>
        <w:tc>
          <w:tcPr>
            <w:tcW w:type="dxa" w:w="1504"/>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Emeritus discount funded by an absent channel</w:t>
            </w:r>
          </w:p>
        </w:tc>
        <w:tc>
          <w:tcPr>
            <w:tcW w:type="dxa" w:w="1300"/>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Corrected</w:t>
            </w:r>
          </w:p>
        </w:tc>
        <w:tc>
          <w:tcPr>
            <w:tcW w:type="dxa" w:w="4164"/>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State support removed; Trader and Corporate fund the discount; grants are upside</w:t>
            </w:r>
          </w:p>
        </w:tc>
        <w:tc>
          <w:tcPr>
            <w:tcW w:type="dxa" w:w="1902"/>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w:t>
            </w:r>
          </w:p>
        </w:tc>
      </w:tr>
      <w:tr>
        <w:trPr>
          <w:cantSplit/>
          <w:tblHeader w:val="false"/>
        </w:trPr>
        <w:tc>
          <w:tcPr>
            <w:tcW w:type="dxa" w:w="121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C14</w:t>
            </w:r>
          </w:p>
        </w:tc>
        <w:tc>
          <w:tcPr>
            <w:tcW w:type="dxa" w:w="1504"/>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Message inconsistency across pages</w:t>
            </w:r>
          </w:p>
        </w:tc>
        <w:tc>
          <w:tcPr>
            <w:tcW w:type="dxa" w:w="130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Open</w:t>
            </w:r>
          </w:p>
        </w:tc>
        <w:tc>
          <w:tcPr>
            <w:tcW w:type="dxa" w:w="4164"/>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Canonical numbers page, one owner, quarterly audit</w:t>
            </w:r>
          </w:p>
        </w:tc>
        <w:tc>
          <w:tcPr>
            <w:tcW w:type="dxa" w:w="1902"/>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Zero tolerance</w:t>
            </w:r>
          </w:p>
        </w:tc>
      </w:tr>
      <w:tr>
        <w:trPr>
          <w:cantSplit/>
          <w:tblHeader w:val="false"/>
        </w:trPr>
        <w:tc>
          <w:tcPr>
            <w:tcW w:type="dxa" w:w="1210"/>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C15</w:t>
            </w:r>
          </w:p>
        </w:tc>
        <w:tc>
          <w:tcPr>
            <w:tcW w:type="dxa" w:w="1504"/>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"5th Wall" name vs the venture firm</w:t>
            </w:r>
          </w:p>
        </w:tc>
        <w:tc>
          <w:tcPr>
            <w:tcW w:type="dxa" w:w="1300"/>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Open</w:t>
            </w:r>
          </w:p>
        </w:tc>
        <w:tc>
          <w:tcPr>
            <w:tcW w:type="dxa" w:w="4164"/>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Trademark opinion before PoC; keep the mark for the manufacturer or obtain coexistence</w:t>
            </w:r>
          </w:p>
        </w:tc>
        <w:tc>
          <w:tcPr>
            <w:tcW w:type="dxa" w:w="1902"/>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Negative opinion → move published domains</w:t>
            </w:r>
          </w:p>
        </w:tc>
      </w:tr>
      <w:tr>
        <w:trPr>
          <w:cantSplit/>
          <w:tblHeader w:val="false"/>
        </w:trPr>
        <w:tc>
          <w:tcPr>
            <w:tcW w:type="dxa" w:w="121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C4</w:t>
            </w:r>
          </w:p>
        </w:tc>
        <w:tc>
          <w:tcPr>
            <w:tcW w:type="dxa" w:w="1504"/>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Landlord declines equity-for-rent</w:t>
            </w:r>
          </w:p>
        </w:tc>
        <w:tc>
          <w:tcPr>
            <w:tcW w:type="dxa" w:w="130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Open</w:t>
            </w:r>
          </w:p>
        </w:tc>
        <w:tc>
          <w:tcPr>
            <w:tcW w:type="dxa" w:w="4164"/>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Fallback to Industrious-type management agreement</w:t>
            </w:r>
          </w:p>
        </w:tc>
        <w:tc>
          <w:tcPr>
            <w:tcW w:type="dxa" w:w="1902"/>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Two declines in a row → open under management agreement</w:t>
            </w:r>
          </w:p>
        </w:tc>
      </w:tr>
      <w:tr>
        <w:trPr>
          <w:cantSplit/>
          <w:tblHeader w:val="false"/>
        </w:trPr>
        <w:tc>
          <w:tcPr>
            <w:tcW w:type="dxa" w:w="1210"/>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C3</w:t>
            </w:r>
          </w:p>
        </w:tc>
        <w:tc>
          <w:tcPr>
            <w:tcW w:type="dxa" w:w="1504"/>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Brand fit / social licence</w:t>
            </w:r>
          </w:p>
        </w:tc>
        <w:tc>
          <w:tcPr>
            <w:tcW w:type="dxa" w:w="1300"/>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Partial</w:t>
            </w:r>
          </w:p>
        </w:tc>
        <w:tc>
          <w:tcPr>
            <w:tcW w:type="dxa" w:w="4164"/>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Three-tier fit policy; Tier 2 90-day exit rights; social-licence test</w:t>
            </w:r>
          </w:p>
        </w:tc>
        <w:tc>
          <w:tcPr>
            <w:tcW w:type="dxa" w:w="1902"/>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One entry triggers &gt; 10% tenant exits → policy engages</w:t>
            </w:r>
          </w:p>
        </w:tc>
      </w:tr>
      <w:tr>
        <w:trPr>
          <w:cantSplit/>
          <w:tblHeader w:val="false"/>
        </w:trPr>
        <w:tc>
          <w:tcPr>
            <w:tcW w:type="dxa" w:w="121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8.1</w:t>
            </w:r>
          </w:p>
        </w:tc>
        <w:tc>
          <w:tcPr>
            <w:tcW w:type="dxa" w:w="1504"/>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Rail gatekeeper dependency</w:t>
            </w:r>
          </w:p>
        </w:tc>
        <w:tc>
          <w:tcPr>
            <w:tcW w:type="dxa" w:w="130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Engineered</w:t>
            </w:r>
          </w:p>
        </w:tc>
        <w:tc>
          <w:tcPr>
            <w:tcW w:type="dxa" w:w="4164"/>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Sovereign rail always live; no rail above one-third of booked demand</w:t>
            </w:r>
          </w:p>
        </w:tc>
        <w:tc>
          <w:tcPr>
            <w:tcW w:type="dxa" w:w="1902"/>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w:t>
            </w:r>
          </w:p>
        </w:tc>
      </w:tr>
      <w:tr>
        <w:trPr>
          <w:cantSplit/>
          <w:tblHeader w:val="false"/>
        </w:trPr>
        <w:tc>
          <w:tcPr>
            <w:tcW w:type="dxa" w:w="1210"/>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C8</w:t>
            </w:r>
          </w:p>
        </w:tc>
        <w:tc>
          <w:tcPr>
            <w:tcW w:type="dxa" w:w="1504"/>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Chain claim before proof</w:t>
            </w:r>
          </w:p>
        </w:tc>
        <w:tc>
          <w:tcPr>
            <w:tcW w:type="dxa" w:w="1300"/>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Closed</w:t>
            </w:r>
          </w:p>
        </w:tc>
        <w:tc>
          <w:tcPr>
            <w:tcW w:type="dxa" w:w="4164"/>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No second venue without four quarters of data</w:t>
            </w:r>
          </w:p>
        </w:tc>
        <w:tc>
          <w:tcPr>
            <w:tcW w:type="dxa" w:w="1902"/>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w:t>
            </w:r>
          </w:p>
        </w:tc>
      </w:tr>
    </w:tbl>
    <w:p>
      <w:pPr>
        <w:spacing w:after="120"/>
      </w:pPr>
    </w:p>
    <w:p>
      <w:r>
        <w:br w:type="page"/>
      </w:r>
    </w:p>
    <w:p>
      <w:pPr>
        <w:pStyle w:val="Heading1"/>
      </w:pPr>
      <w:r>
        <w:rPr>
          <w:color w:val="0F5F5C"/>
        </w:rPr>
        <w:t xml:space="preserve">12 </w:t>
      </w:r>
      <w:r>
        <w:t xml:space="preserve">Twelve-month scoreboard — what Venue-0 must prove</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4603"/>
        <w:gridCol w:w="4487"/>
        <w:gridCol w:w="990"/>
      </w:tblGrid>
      <w:tr>
        <w:trPr>
          <w:cantSplit/>
          <w:tblHeader/>
        </w:trPr>
        <w:tc>
          <w:tcPr>
            <w:tcW w:type="dxa" w:w="4603"/>
            <w:tcBorders>
              <w:top w:val="single" w:color="D5DBD6" w:sz="4"/>
              <w:left w:val="none" w:color="FFFFFF" w:sz="0"/>
              <w:bottom w:val="single" w:color="D5DBD6" w:sz="4"/>
              <w:right w:val="none" w:color="FFFFFF" w:sz="0"/>
            </w:tcBorders>
            <w:shd w:fill="1B2530" w:color="auto" w:val="clear"/>
            <w:tcMar>
              <w:top w:type="dxa" w:w="70"/>
              <w:left w:type="dxa" w:w="100"/>
              <w:bottom w:type="dxa" w:w="70"/>
              <w:right w:type="dxa" w:w="100"/>
            </w:tcMar>
            <w:vAlign w:val="top"/>
          </w:tcPr>
          <w:p>
            <w:pPr>
              <w:spacing w:after="0" w:line="260"/>
              <w:jc w:val="left"/>
            </w:pPr>
            <w:r>
              <w:rPr>
                <w:rFonts w:ascii="Calibri" w:cs="Calibri" w:eastAsia="Calibri" w:hAnsi="Calibri"/>
                <w:b/>
                <w:bCs/>
                <w:i w:val="false"/>
                <w:iCs w:val="false"/>
                <w:color w:val="FFFFFF"/>
                <w:sz w:val="18"/>
                <w:szCs w:val="18"/>
              </w:rPr>
              <w:t xml:space="preserve">Hypothesis</w:t>
            </w:r>
          </w:p>
        </w:tc>
        <w:tc>
          <w:tcPr>
            <w:tcW w:type="dxa" w:w="4487"/>
            <w:tcBorders>
              <w:top w:val="single" w:color="D5DBD6" w:sz="4"/>
              <w:left w:val="none" w:color="FFFFFF" w:sz="0"/>
              <w:bottom w:val="single" w:color="D5DBD6" w:sz="4"/>
              <w:right w:val="none" w:color="FFFFFF" w:sz="0"/>
            </w:tcBorders>
            <w:shd w:fill="1B2530" w:color="auto" w:val="clear"/>
            <w:tcMar>
              <w:top w:type="dxa" w:w="70"/>
              <w:left w:type="dxa" w:w="100"/>
              <w:bottom w:type="dxa" w:w="70"/>
              <w:right w:type="dxa" w:w="100"/>
            </w:tcMar>
            <w:vAlign w:val="top"/>
          </w:tcPr>
          <w:p>
            <w:pPr>
              <w:spacing w:after="0" w:line="260"/>
              <w:jc w:val="left"/>
            </w:pPr>
            <w:r>
              <w:rPr>
                <w:rFonts w:ascii="Calibri" w:cs="Calibri" w:eastAsia="Calibri" w:hAnsi="Calibri"/>
                <w:b/>
                <w:bCs/>
                <w:i w:val="false"/>
                <w:iCs w:val="false"/>
                <w:color w:val="FFFFFF"/>
                <w:sz w:val="18"/>
                <w:szCs w:val="18"/>
              </w:rPr>
              <w:t xml:space="preserve">Metric</w:t>
            </w:r>
          </w:p>
        </w:tc>
        <w:tc>
          <w:tcPr>
            <w:tcW w:type="dxa" w:w="990"/>
            <w:tcBorders>
              <w:top w:val="single" w:color="D5DBD6" w:sz="4"/>
              <w:left w:val="none" w:color="FFFFFF" w:sz="0"/>
              <w:bottom w:val="single" w:color="D5DBD6" w:sz="4"/>
              <w:right w:val="none" w:color="FFFFFF" w:sz="0"/>
            </w:tcBorders>
            <w:shd w:fill="1B2530" w:color="auto" w:val="clear"/>
            <w:tcMar>
              <w:top w:type="dxa" w:w="70"/>
              <w:left w:type="dxa" w:w="100"/>
              <w:bottom w:type="dxa" w:w="70"/>
              <w:right w:type="dxa" w:w="100"/>
            </w:tcMar>
            <w:vAlign w:val="top"/>
          </w:tcPr>
          <w:p>
            <w:pPr>
              <w:spacing w:after="0" w:line="260"/>
              <w:jc w:val="left"/>
            </w:pPr>
            <w:r>
              <w:rPr>
                <w:rFonts w:ascii="Calibri" w:cs="Calibri" w:eastAsia="Calibri" w:hAnsi="Calibri"/>
                <w:b/>
                <w:bCs/>
                <w:i w:val="false"/>
                <w:iCs w:val="false"/>
                <w:color w:val="FFFFFF"/>
                <w:sz w:val="18"/>
                <w:szCs w:val="18"/>
              </w:rPr>
              <w:t xml:space="preserve">Phase</w:t>
            </w:r>
          </w:p>
        </w:tc>
      </w:tr>
      <w:tr>
        <w:trPr>
          <w:cantSplit/>
          <w:tblHeader w:val="false"/>
        </w:trPr>
        <w:tc>
          <w:tcPr>
            <w:tcW w:type="dxa" w:w="4603"/>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One household earns on more than one layer per visit</w:t>
            </w:r>
          </w:p>
        </w:tc>
        <w:tc>
          <w:tcPr>
            <w:tcW w:type="dxa" w:w="4487"/>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Household RevPAM; ≥ 15% of household visits multi-layer</w:t>
            </w:r>
          </w:p>
        </w:tc>
        <w:tc>
          <w:tcPr>
            <w:tcW w:type="dxa" w:w="99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P1</w:t>
            </w:r>
          </w:p>
        </w:tc>
      </w:tr>
      <w:tr>
        <w:trPr>
          <w:cantSplit/>
          <w:tblHeader w:val="false"/>
        </w:trPr>
        <w:tc>
          <w:tcPr>
            <w:tcW w:type="dxa" w:w="4603"/>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Traffic is reachable organically plus anchors</w:t>
            </w:r>
          </w:p>
        </w:tc>
        <w:tc>
          <w:tcPr>
            <w:tcW w:type="dxa" w:w="4487"/>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Source of first visit; anchor / creator / sponsor share</w:t>
            </w:r>
          </w:p>
        </w:tc>
        <w:tc>
          <w:tcPr>
            <w:tcW w:type="dxa" w:w="990"/>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P1</w:t>
            </w:r>
          </w:p>
        </w:tc>
      </w:tr>
      <w:tr>
        <w:trPr>
          <w:cantSplit/>
          <w:tblHeader w:val="false"/>
        </w:trPr>
        <w:tc>
          <w:tcPr>
            <w:tcW w:type="dxa" w:w="4603"/>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Guest → Master conversion is real at $15–25</w:t>
            </w:r>
          </w:p>
        </w:tc>
        <w:tc>
          <w:tcPr>
            <w:tcW w:type="dxa" w:w="4487"/>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A/B of three price and rights bundles; 90-day activation ≥ 70%</w:t>
            </w:r>
          </w:p>
        </w:tc>
        <w:tc>
          <w:tcPr>
            <w:tcW w:type="dxa" w:w="99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P1</w:t>
            </w:r>
          </w:p>
        </w:tc>
      </w:tr>
      <w:tr>
        <w:trPr>
          <w:cantSplit/>
          <w:tblHeader w:val="false"/>
        </w:trPr>
        <w:tc>
          <w:tcPr>
            <w:tcW w:type="dxa" w:w="4603"/>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Arcade fills to physical capacity at $110–150</w:t>
            </w:r>
          </w:p>
        </w:tc>
        <w:tc>
          <w:tcPr>
            <w:tcW w:type="dxa" w:w="4487"/>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Staged opening at 300 desks; occupancy, churn</w:t>
            </w:r>
          </w:p>
        </w:tc>
        <w:tc>
          <w:tcPr>
            <w:tcW w:type="dxa" w:w="990"/>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P1–P2</w:t>
            </w:r>
          </w:p>
        </w:tc>
      </w:tr>
      <w:tr>
        <w:trPr>
          <w:cantSplit/>
          <w:tblHeader w:val="false"/>
        </w:trPr>
        <w:tc>
          <w:tcPr>
            <w:tcW w:type="dxa" w:w="4603"/>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Members return weekly and know each other</w:t>
            </w:r>
          </w:p>
        </w:tc>
        <w:tc>
          <w:tcPr>
            <w:tcW w:type="dxa" w:w="4487"/>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Visits per member ≥ 4; social tie ratio ≥ 60%</w:t>
            </w:r>
          </w:p>
        </w:tc>
        <w:tc>
          <w:tcPr>
            <w:tcW w:type="dxa" w:w="99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P1–P2</w:t>
            </w:r>
          </w:p>
        </w:tc>
      </w:tr>
      <w:tr>
        <w:trPr>
          <w:cantSplit/>
          <w:tblHeader w:val="false"/>
        </w:trPr>
        <w:tc>
          <w:tcPr>
            <w:tcW w:type="dxa" w:w="4603"/>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Dues buy spend on the other six lines</w:t>
            </w:r>
          </w:p>
        </w:tc>
        <w:tc>
          <w:tcPr>
            <w:tcW w:type="dxa" w:w="4487"/>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Non-dues revenue / dues 1.5–3.0×</w:t>
            </w:r>
          </w:p>
        </w:tc>
        <w:tc>
          <w:tcPr>
            <w:tcW w:type="dxa" w:w="990"/>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P2</w:t>
            </w:r>
          </w:p>
        </w:tc>
      </w:tr>
      <w:tr>
        <w:trPr>
          <w:cantSplit/>
          <w:tblHeader w:val="false"/>
        </w:trPr>
        <w:tc>
          <w:tcPr>
            <w:tcW w:type="dxa" w:w="4603"/>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Maker tables pay for themselves</w:t>
            </w:r>
          </w:p>
        </w:tc>
        <w:tc>
          <w:tcPr>
            <w:tcW w:type="dxa" w:w="4487"/>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Revenue per table vs turnover cost; contribution margin ≥ 15%</w:t>
            </w:r>
          </w:p>
        </w:tc>
        <w:tc>
          <w:tcPr>
            <w:tcW w:type="dxa" w:w="99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P1</w:t>
            </w:r>
          </w:p>
        </w:tc>
      </w:tr>
      <w:tr>
        <w:trPr>
          <w:cantSplit/>
          <w:tblHeader w:val="false"/>
        </w:trPr>
        <w:tc>
          <w:tcPr>
            <w:tcW w:type="dxa" w:w="4603"/>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Emeritus sessions fill without a public board</w:t>
            </w:r>
          </w:p>
        </w:tc>
        <w:tc>
          <w:tcPr>
            <w:tcW w:type="dxa" w:w="4487"/>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Session fill ≥ 80%, measured privately</w:t>
            </w:r>
          </w:p>
        </w:tc>
        <w:tc>
          <w:tcPr>
            <w:tcW w:type="dxa" w:w="990"/>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P1–P2</w:t>
            </w:r>
          </w:p>
        </w:tc>
      </w:tr>
      <w:tr>
        <w:trPr>
          <w:cantSplit/>
          <w:tblHeader w:val="false"/>
        </w:trPr>
        <w:tc>
          <w:tcPr>
            <w:tcW w:type="dxa" w:w="4603"/>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Media approaches airport CPM with a measured audience</w:t>
            </w:r>
          </w:p>
        </w:tc>
        <w:tc>
          <w:tcPr>
            <w:tcW w:type="dxa" w:w="4487"/>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CPM ≥ 1.5× street DOOH with three pilot advertisers</w:t>
            </w:r>
          </w:p>
        </w:tc>
        <w:tc>
          <w:tcPr>
            <w:tcW w:type="dxa" w:w="99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P2</w:t>
            </w:r>
          </w:p>
        </w:tc>
      </w:tr>
      <w:tr>
        <w:trPr>
          <w:cantSplit/>
          <w:tblHeader w:val="false"/>
        </w:trPr>
        <w:tc>
          <w:tcPr>
            <w:tcW w:type="dxa" w:w="4603"/>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Four systems run 90 days without manual fallback</w:t>
            </w:r>
          </w:p>
        </w:tc>
        <w:tc>
          <w:tcPr>
            <w:tcW w:type="dxa" w:w="4487"/>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Uptime log</w:t>
            </w:r>
          </w:p>
        </w:tc>
        <w:tc>
          <w:tcPr>
            <w:tcW w:type="dxa" w:w="990"/>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P0–P1</w:t>
            </w:r>
          </w:p>
        </w:tc>
      </w:tr>
      <w:tr>
        <w:trPr>
          <w:cantSplit/>
          <w:tblHeader w:val="false"/>
        </w:trPr>
        <w:tc>
          <w:tcPr>
            <w:tcW w:type="dxa" w:w="4603"/>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NOI margin stays above 30% with all lines</w:t>
            </w:r>
          </w:p>
        </w:tc>
        <w:tc>
          <w:tcPr>
            <w:tcW w:type="dxa" w:w="4487"/>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Full area-based P&amp;L</w:t>
            </w:r>
          </w:p>
        </w:tc>
        <w:tc>
          <w:tcPr>
            <w:tcW w:type="dxa" w:w="99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P0 → P2</w:t>
            </w:r>
          </w:p>
        </w:tc>
      </w:tr>
    </w:tbl>
    <w:p>
      <w:pPr>
        <w:spacing w:after="120"/>
      </w:pPr>
    </w:p>
    <w:p>
      <w:pPr>
        <w:spacing w:after="140" w:line="300"/>
      </w:pPr>
      <w:r>
        <w:rPr>
          <w:b/>
          <w:bCs/>
          <w:i w:val="false"/>
          <w:iCs w:val="false"/>
        </w:rPr>
        <w:t xml:space="preserve">Into the replication book:</w:t>
      </w:r>
      <w:r>
        <w:rPr>
          <w:i w:val="false"/>
          <w:iCs w:val="false"/>
        </w:rPr>
        <w:t xml:space="preserve"> the four systems and installation book; the area-based seven-line P&amp;L with real ratios; the tier bundle and dashboard definitions; the maker on-ramp price ladder; the fit policy and conflict list; the signed landlord template; the demand-engine mix; the Stage calendar and budget percentage; camera zoning and the Stage Access agreement.</w:t>
      </w:r>
    </w:p>
    <w:p>
      <w:pPr>
        <w:spacing w:after="140" w:line="300"/>
      </w:pPr>
      <w:r>
        <w:rPr>
          <w:b/>
          <w:bCs/>
          <w:i w:val="false"/>
          <w:iCs w:val="false"/>
        </w:rPr>
        <w:t xml:space="preserve">Stays local:</w:t>
      </w:r>
      <w:r>
        <w:rPr>
          <w:i w:val="false"/>
          <w:iCs w:val="false"/>
        </w:rPr>
        <w:t xml:space="preserve"> anchor and creator list; Open Market programme; seed sponsor per location; Arcade capacity by mezzanine area; the Emeritus bench.</w:t>
      </w:r>
    </w:p>
    <w:p>
      <w:r>
        <w:br w:type="page"/>
      </w:r>
    </w:p>
    <w:p>
      <w:pPr>
        <w:pStyle w:val="Heading1"/>
      </w:pPr>
      <w:r>
        <w:rPr>
          <w:color w:val="0F5F5C"/>
        </w:rPr>
        <w:t xml:space="preserve">13 </w:t>
      </w:r>
      <w:r>
        <w:t xml:space="preserve">What the Council should resolve before the round goes out</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721"/>
        <w:gridCol w:w="8060"/>
        <w:gridCol w:w="1299"/>
      </w:tblGrid>
      <w:tr>
        <w:trPr>
          <w:cantSplit/>
          <w:tblHeader/>
        </w:trPr>
        <w:tc>
          <w:tcPr>
            <w:tcW w:type="dxa" w:w="721"/>
            <w:tcBorders>
              <w:top w:val="single" w:color="D5DBD6" w:sz="4"/>
              <w:left w:val="none" w:color="FFFFFF" w:sz="0"/>
              <w:bottom w:val="single" w:color="D5DBD6" w:sz="4"/>
              <w:right w:val="none" w:color="FFFFFF" w:sz="0"/>
            </w:tcBorders>
            <w:shd w:fill="1B2530" w:color="auto" w:val="clear"/>
            <w:tcMar>
              <w:top w:type="dxa" w:w="70"/>
              <w:left w:type="dxa" w:w="100"/>
              <w:bottom w:type="dxa" w:w="70"/>
              <w:right w:type="dxa" w:w="100"/>
            </w:tcMar>
            <w:vAlign w:val="top"/>
          </w:tcPr>
          <w:p>
            <w:pPr>
              <w:spacing w:after="0" w:line="260"/>
              <w:jc w:val="left"/>
            </w:pPr>
            <w:r>
              <w:rPr>
                <w:rFonts w:ascii="Calibri" w:cs="Calibri" w:eastAsia="Calibri" w:hAnsi="Calibri"/>
                <w:b/>
                <w:bCs/>
                <w:i w:val="false"/>
                <w:iCs w:val="false"/>
                <w:color w:val="FFFFFF"/>
                <w:sz w:val="18"/>
                <w:szCs w:val="18"/>
              </w:rPr>
              <w:t xml:space="preserve">#</w:t>
            </w:r>
          </w:p>
        </w:tc>
        <w:tc>
          <w:tcPr>
            <w:tcW w:type="dxa" w:w="8060"/>
            <w:tcBorders>
              <w:top w:val="single" w:color="D5DBD6" w:sz="4"/>
              <w:left w:val="none" w:color="FFFFFF" w:sz="0"/>
              <w:bottom w:val="single" w:color="D5DBD6" w:sz="4"/>
              <w:right w:val="none" w:color="FFFFFF" w:sz="0"/>
            </w:tcBorders>
            <w:shd w:fill="1B2530" w:color="auto" w:val="clear"/>
            <w:tcMar>
              <w:top w:type="dxa" w:w="70"/>
              <w:left w:type="dxa" w:w="100"/>
              <w:bottom w:type="dxa" w:w="70"/>
              <w:right w:type="dxa" w:w="100"/>
            </w:tcMar>
            <w:vAlign w:val="top"/>
          </w:tcPr>
          <w:p>
            <w:pPr>
              <w:spacing w:after="0" w:line="260"/>
              <w:jc w:val="left"/>
            </w:pPr>
            <w:r>
              <w:rPr>
                <w:rFonts w:ascii="Calibri" w:cs="Calibri" w:eastAsia="Calibri" w:hAnsi="Calibri"/>
                <w:b/>
                <w:bCs/>
                <w:i w:val="false"/>
                <w:iCs w:val="false"/>
                <w:color w:val="FFFFFF"/>
                <w:sz w:val="18"/>
                <w:szCs w:val="18"/>
              </w:rPr>
              <w:t xml:space="preserve">Resolution</w:t>
            </w:r>
          </w:p>
        </w:tc>
        <w:tc>
          <w:tcPr>
            <w:tcW w:type="dxa" w:w="1299"/>
            <w:tcBorders>
              <w:top w:val="single" w:color="D5DBD6" w:sz="4"/>
              <w:left w:val="none" w:color="FFFFFF" w:sz="0"/>
              <w:bottom w:val="single" w:color="D5DBD6" w:sz="4"/>
              <w:right w:val="none" w:color="FFFFFF" w:sz="0"/>
            </w:tcBorders>
            <w:shd w:fill="1B2530" w:color="auto" w:val="clear"/>
            <w:tcMar>
              <w:top w:type="dxa" w:w="70"/>
              <w:left w:type="dxa" w:w="100"/>
              <w:bottom w:type="dxa" w:w="70"/>
              <w:right w:type="dxa" w:w="100"/>
            </w:tcMar>
            <w:vAlign w:val="top"/>
          </w:tcPr>
          <w:p>
            <w:pPr>
              <w:spacing w:after="0" w:line="260"/>
              <w:jc w:val="left"/>
            </w:pPr>
            <w:r>
              <w:rPr>
                <w:rFonts w:ascii="Calibri" w:cs="Calibri" w:eastAsia="Calibri" w:hAnsi="Calibri"/>
                <w:b/>
                <w:bCs/>
                <w:i w:val="false"/>
                <w:iCs w:val="false"/>
                <w:color w:val="FFFFFF"/>
                <w:sz w:val="18"/>
                <w:szCs w:val="18"/>
              </w:rPr>
              <w:t xml:space="preserve">Owner</w:t>
            </w:r>
          </w:p>
        </w:tc>
      </w:tr>
      <w:tr>
        <w:trPr>
          <w:cantSplit/>
          <w:tblHeader w:val="false"/>
        </w:trPr>
        <w:tc>
          <w:tcPr>
            <w:tcW w:type="dxa" w:w="721"/>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1</w:t>
            </w:r>
          </w:p>
        </w:tc>
        <w:tc>
          <w:tcPr>
            <w:tcW w:type="dxa" w:w="806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Master monthly price — everything in Position 08 derives from it; cannot be deferred</w:t>
            </w:r>
          </w:p>
        </w:tc>
        <w:tc>
          <w:tcPr>
            <w:tcW w:type="dxa" w:w="1299"/>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Council</w:t>
            </w:r>
          </w:p>
        </w:tc>
      </w:tr>
      <w:tr>
        <w:trPr>
          <w:cantSplit/>
          <w:tblHeader w:val="false"/>
        </w:trPr>
        <w:tc>
          <w:tcPr>
            <w:tcW w:type="dxa" w:w="721"/>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2</w:t>
            </w:r>
          </w:p>
        </w:tc>
        <w:tc>
          <w:tcPr>
            <w:tcW w:type="dxa" w:w="8060"/>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Arcade anchor: adopt the coworking market median in place of a named competitor</w:t>
            </w:r>
          </w:p>
        </w:tc>
        <w:tc>
          <w:tcPr>
            <w:tcW w:type="dxa" w:w="1299"/>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Council</w:t>
            </w:r>
          </w:p>
        </w:tc>
      </w:tr>
      <w:tr>
        <w:trPr>
          <w:cantSplit/>
          <w:tblHeader w:val="false"/>
        </w:trPr>
        <w:tc>
          <w:tcPr>
            <w:tcW w:type="dxa" w:w="721"/>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3</w:t>
            </w:r>
          </w:p>
        </w:tc>
        <w:tc>
          <w:tcPr>
            <w:tcW w:type="dxa" w:w="806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Emeritus discount funded by Trader and Corporate; state support removed from the model</w:t>
            </w:r>
          </w:p>
        </w:tc>
        <w:tc>
          <w:tcPr>
            <w:tcW w:type="dxa" w:w="1299"/>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Council</w:t>
            </w:r>
          </w:p>
        </w:tc>
      </w:tr>
      <w:tr>
        <w:trPr>
          <w:cantSplit/>
          <w:tblHeader w:val="false"/>
        </w:trPr>
        <w:tc>
          <w:tcPr>
            <w:tcW w:type="dxa" w:w="721"/>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4</w:t>
            </w:r>
          </w:p>
        </w:tc>
        <w:tc>
          <w:tcPr>
            <w:tcW w:type="dxa" w:w="8060"/>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Camera zoning adopted as building policy before any Stage Access agreement</w:t>
            </w:r>
          </w:p>
        </w:tc>
        <w:tc>
          <w:tcPr>
            <w:tcW w:type="dxa" w:w="1299"/>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Council</w:t>
            </w:r>
          </w:p>
        </w:tc>
      </w:tr>
      <w:tr>
        <w:trPr>
          <w:cantSplit/>
          <w:tblHeader w:val="false"/>
        </w:trPr>
        <w:tc>
          <w:tcPr>
            <w:tcW w:type="dxa" w:w="721"/>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5</w:t>
            </w:r>
          </w:p>
        </w:tc>
        <w:tc>
          <w:tcPr>
            <w:tcW w:type="dxa" w:w="806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Emeritus confirmed as the only refusable tier</w:t>
            </w:r>
          </w:p>
        </w:tc>
        <w:tc>
          <w:tcPr>
            <w:tcW w:type="dxa" w:w="1299"/>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Council</w:t>
            </w:r>
          </w:p>
        </w:tc>
      </w:tr>
      <w:tr>
        <w:trPr>
          <w:cantSplit/>
          <w:tblHeader w:val="false"/>
        </w:trPr>
        <w:tc>
          <w:tcPr>
            <w:tcW w:type="dxa" w:w="721"/>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6</w:t>
            </w:r>
          </w:p>
        </w:tc>
        <w:tc>
          <w:tcPr>
            <w:tcW w:type="dxa" w:w="8060"/>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Position 08 renamed Users &amp; Visitors &amp; Beyond in the register</w:t>
            </w:r>
          </w:p>
        </w:tc>
        <w:tc>
          <w:tcPr>
            <w:tcW w:type="dxa" w:w="1299"/>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Council</w:t>
            </w:r>
          </w:p>
        </w:tc>
      </w:tr>
      <w:tr>
        <w:trPr>
          <w:cantSplit/>
          <w:tblHeader w:val="false"/>
        </w:trPr>
        <w:tc>
          <w:tcPr>
            <w:tcW w:type="dxa" w:w="721"/>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7</w:t>
            </w:r>
          </w:p>
        </w:tc>
        <w:tc>
          <w:tcPr>
            <w:tcW w:type="dxa" w:w="806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Lead case for the investor deck: conservative (recommended) or founders' base</w:t>
            </w:r>
          </w:p>
        </w:tc>
        <w:tc>
          <w:tcPr>
            <w:tcW w:type="dxa" w:w="1299"/>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Council</w:t>
            </w:r>
          </w:p>
        </w:tc>
      </w:tr>
      <w:tr>
        <w:trPr>
          <w:cantSplit/>
          <w:tblHeader w:val="false"/>
        </w:trPr>
        <w:tc>
          <w:tcPr>
            <w:tcW w:type="dxa" w:w="721"/>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8</w:t>
            </w:r>
          </w:p>
        </w:tc>
        <w:tc>
          <w:tcPr>
            <w:tcW w:type="dxa" w:w="8060"/>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Instrument, valuation basis, Tranche 1 lead</w:t>
            </w:r>
          </w:p>
        </w:tc>
        <w:tc>
          <w:tcPr>
            <w:tcW w:type="dxa" w:w="1299"/>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Council + Legal Ally</w:t>
            </w:r>
          </w:p>
        </w:tc>
      </w:tr>
      <w:tr>
        <w:trPr>
          <w:cantSplit/>
          <w:tblHeader w:val="false"/>
        </w:trPr>
        <w:tc>
          <w:tcPr>
            <w:tcW w:type="dxa" w:w="721"/>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9</w:t>
            </w:r>
          </w:p>
        </w:tc>
        <w:tc>
          <w:tcPr>
            <w:tcW w:type="dxa" w:w="806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Sponsor royalty converted to kit + activation + ROFR; purchased participation at scale</w:t>
            </w:r>
          </w:p>
        </w:tc>
        <w:tc>
          <w:tcPr>
            <w:tcW w:type="dxa" w:w="1299"/>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Council</w:t>
            </w:r>
          </w:p>
        </w:tc>
      </w:tr>
      <w:tr>
        <w:trPr>
          <w:cantSplit/>
          <w:tblHeader w:val="false"/>
        </w:trPr>
        <w:tc>
          <w:tcPr>
            <w:tcW w:type="dxa" w:w="721"/>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10</w:t>
            </w:r>
          </w:p>
        </w:tc>
        <w:tc>
          <w:tcPr>
            <w:tcW w:type="dxa" w:w="8060"/>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Household as primary customer definition; Tier 2 exit rights; ultra-fast fashion outside PoC</w:t>
            </w:r>
          </w:p>
        </w:tc>
        <w:tc>
          <w:tcPr>
            <w:tcW w:type="dxa" w:w="1299"/>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Council</w:t>
            </w:r>
          </w:p>
        </w:tc>
      </w:tr>
      <w:tr>
        <w:trPr>
          <w:cantSplit/>
          <w:tblHeader w:val="false"/>
        </w:trPr>
        <w:tc>
          <w:tcPr>
            <w:tcW w:type="dxa" w:w="721"/>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11</w:t>
            </w:r>
          </w:p>
        </w:tc>
        <w:tc>
          <w:tcPr>
            <w:tcW w:type="dxa" w:w="806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Faire equity-level track authorisation</w:t>
            </w:r>
          </w:p>
        </w:tc>
        <w:tc>
          <w:tcPr>
            <w:tcW w:type="dxa" w:w="1299"/>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Council</w:t>
            </w:r>
          </w:p>
        </w:tc>
      </w:tr>
      <w:tr>
        <w:trPr>
          <w:cantSplit/>
          <w:tblHeader w:val="false"/>
        </w:trPr>
        <w:tc>
          <w:tcPr>
            <w:tcW w:type="dxa" w:w="721"/>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12</w:t>
            </w:r>
          </w:p>
        </w:tc>
        <w:tc>
          <w:tcPr>
            <w:tcW w:type="dxa" w:w="8060"/>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Domain strategy pending trademark opinion; owner of the canonical numbers page; PoC as single LLC</w:t>
            </w:r>
          </w:p>
        </w:tc>
        <w:tc>
          <w:tcPr>
            <w:tcW w:type="dxa" w:w="1299"/>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Council + Legal Ally</w:t>
            </w:r>
          </w:p>
        </w:tc>
      </w:tr>
      <w:tr>
        <w:trPr>
          <w:cantSplit/>
          <w:tblHeader w:val="false"/>
        </w:trPr>
        <w:tc>
          <w:tcPr>
            <w:tcW w:type="dxa" w:w="721"/>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13</w:t>
            </w:r>
          </w:p>
        </w:tc>
        <w:tc>
          <w:tcPr>
            <w:tcW w:type="dxa" w:w="806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Grocery anchor loss: separate deliberation before any in-house grocery operation</w:t>
            </w:r>
          </w:p>
        </w:tc>
        <w:tc>
          <w:tcPr>
            <w:tcW w:type="dxa" w:w="1299"/>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Council</w:t>
            </w:r>
          </w:p>
        </w:tc>
      </w:tr>
      <w:tr>
        <w:trPr>
          <w:cantSplit/>
          <w:tblHeader w:val="false"/>
        </w:trPr>
        <w:tc>
          <w:tcPr>
            <w:tcW w:type="dxa" w:w="721"/>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14</w:t>
            </w:r>
          </w:p>
        </w:tc>
        <w:tc>
          <w:tcPr>
            <w:tcW w:type="dxa" w:w="8060"/>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Legal Ally ranking confirmed through direct conversations; Stewardship Mandate presented</w:t>
            </w:r>
          </w:p>
        </w:tc>
        <w:tc>
          <w:tcPr>
            <w:tcW w:type="dxa" w:w="1299"/>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Founder</w:t>
            </w:r>
          </w:p>
        </w:tc>
      </w:tr>
    </w:tbl>
    <w:p>
      <w:pPr>
        <w:spacing w:after="120"/>
      </w:pPr>
    </w:p>
    <w:p>
      <w:pPr>
        <w:spacing w:after="140" w:line="300"/>
      </w:pPr>
      <w:r>
        <w:rPr>
          <w:i w:val="false"/>
          <w:iCs w:val="false"/>
        </w:rPr>
        <w:t xml:space="preserve">Two matters are flagged rather than answered: the level of the Emeritus fee, which follows Master; and the physical separation of the Arcade from the Emeritus session floor, which depends on a floor plan not yet available.</w:t>
      </w:r>
    </w:p>
    <w:p>
      <w:r>
        <w:br w:type="page"/>
      </w:r>
    </w:p>
    <w:p>
      <w:pPr>
        <w:pStyle w:val="Heading1"/>
      </w:pPr>
      <w:r>
        <w:rPr>
          <w:color w:val="0F5F5C"/>
        </w:rPr>
        <w:t xml:space="preserve">A </w:t>
      </w:r>
      <w:r>
        <w:t xml:space="preserve">Sources — the Arms</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2849"/>
        <w:gridCol w:w="7231"/>
      </w:tblGrid>
      <w:tr>
        <w:trPr>
          <w:cantSplit/>
          <w:tblHeader/>
        </w:trPr>
        <w:tc>
          <w:tcPr>
            <w:tcW w:type="dxa" w:w="2849"/>
            <w:tcBorders>
              <w:top w:val="single" w:color="D5DBD6" w:sz="4"/>
              <w:left w:val="none" w:color="FFFFFF" w:sz="0"/>
              <w:bottom w:val="single" w:color="D5DBD6" w:sz="4"/>
              <w:right w:val="none" w:color="FFFFFF" w:sz="0"/>
            </w:tcBorders>
            <w:shd w:fill="1B2530" w:color="auto" w:val="clear"/>
            <w:tcMar>
              <w:top w:type="dxa" w:w="70"/>
              <w:left w:type="dxa" w:w="100"/>
              <w:bottom w:type="dxa" w:w="70"/>
              <w:right w:type="dxa" w:w="100"/>
            </w:tcMar>
            <w:vAlign w:val="top"/>
          </w:tcPr>
          <w:p>
            <w:pPr>
              <w:spacing w:after="0" w:line="260"/>
              <w:jc w:val="left"/>
            </w:pPr>
            <w:r>
              <w:rPr>
                <w:rFonts w:ascii="Calibri" w:cs="Calibri" w:eastAsia="Calibri" w:hAnsi="Calibri"/>
                <w:b/>
                <w:bCs/>
                <w:i w:val="false"/>
                <w:iCs w:val="false"/>
                <w:color w:val="FFFFFF"/>
                <w:sz w:val="18"/>
                <w:szCs w:val="18"/>
              </w:rPr>
              <w:t xml:space="preserve">Page</w:t>
            </w:r>
          </w:p>
        </w:tc>
        <w:tc>
          <w:tcPr>
            <w:tcW w:type="dxa" w:w="7231"/>
            <w:tcBorders>
              <w:top w:val="single" w:color="D5DBD6" w:sz="4"/>
              <w:left w:val="none" w:color="FFFFFF" w:sz="0"/>
              <w:bottom w:val="single" w:color="D5DBD6" w:sz="4"/>
              <w:right w:val="none" w:color="FFFFFF" w:sz="0"/>
            </w:tcBorders>
            <w:shd w:fill="1B2530" w:color="auto" w:val="clear"/>
            <w:tcMar>
              <w:top w:type="dxa" w:w="70"/>
              <w:left w:type="dxa" w:w="100"/>
              <w:bottom w:type="dxa" w:w="70"/>
              <w:right w:type="dxa" w:w="100"/>
            </w:tcMar>
            <w:vAlign w:val="top"/>
          </w:tcPr>
          <w:p>
            <w:pPr>
              <w:spacing w:after="0" w:line="260"/>
              <w:jc w:val="left"/>
            </w:pPr>
            <w:r>
              <w:rPr>
                <w:rFonts w:ascii="Calibri" w:cs="Calibri" w:eastAsia="Calibri" w:hAnsi="Calibri"/>
                <w:b/>
                <w:bCs/>
                <w:i w:val="false"/>
                <w:iCs w:val="false"/>
                <w:color w:val="FFFFFF"/>
                <w:sz w:val="18"/>
                <w:szCs w:val="18"/>
              </w:rPr>
              <w:t xml:space="preserve">Role in this playbook</w:t>
            </w:r>
          </w:p>
        </w:tc>
      </w:tr>
      <w:tr>
        <w:trPr>
          <w:cantSplit/>
          <w:tblHeader w:val="false"/>
        </w:trPr>
        <w:tc>
          <w:tcPr>
            <w:tcW w:type="dxa" w:w="2849"/>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legal-ally.fifthwallpe.com</w:t>
            </w:r>
          </w:p>
        </w:tc>
        <w:tc>
          <w:tcPr>
            <w:tcW w:type="dxa" w:w="7231"/>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Alliance Skeleton Part 1; Stewardship Mandate; candidate ranking</w:t>
            </w:r>
          </w:p>
        </w:tc>
      </w:tr>
      <w:tr>
        <w:trPr>
          <w:cantSplit/>
          <w:tblHeader w:val="false"/>
        </w:trPr>
        <w:tc>
          <w:tcPr>
            <w:tcW w:type="dxa" w:w="2849"/>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users-visitors-beyond.atmospheremarketplace.com</w:t>
            </w:r>
          </w:p>
        </w:tc>
        <w:tc>
          <w:tcPr>
            <w:tcW w:type="dxa" w:w="7231"/>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Position 08; membership architecture; pricing; red lines; dashboard; the US Membership Economy and Live Commerce studies</w:t>
            </w:r>
          </w:p>
        </w:tc>
      </w:tr>
      <w:tr>
        <w:trPr>
          <w:cantSplit/>
          <w:tblHeader w:val="false"/>
        </w:trPr>
        <w:tc>
          <w:tcPr>
            <w:tcW w:type="dxa" w:w="2849"/>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entrepreneur-allies.fifthwallpe.com</w:t>
            </w:r>
          </w:p>
        </w:tc>
        <w:tc>
          <w:tcPr>
            <w:tcW w:type="dxa" w:w="7231"/>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Demand evidence index; the 100K → 92K equation; 1,001 positions; price anchor</w:t>
            </w:r>
          </w:p>
        </w:tc>
      </w:tr>
      <w:tr>
        <w:trPr>
          <w:cantSplit/>
          <w:tblHeader w:val="false"/>
        </w:trPr>
        <w:tc>
          <w:tcPr>
            <w:tcW w:type="dxa" w:w="2849"/>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pressure-test.fifthwallpe.com</w:t>
            </w:r>
          </w:p>
        </w:tc>
        <w:tc>
          <w:tcPr>
            <w:tcW w:type="dxa" w:w="7231"/>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Eighteen challenges; conservative-case corrections; test register; PoC scope</w:t>
            </w:r>
          </w:p>
        </w:tc>
      </w:tr>
      <w:tr>
        <w:trPr>
          <w:cantSplit/>
          <w:tblHeader w:val="false"/>
        </w:trPr>
        <w:tc>
          <w:tcPr>
            <w:tcW w:type="dxa" w:w="2849"/>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media-ally.fifthwallpe.com</w:t>
            </w:r>
          </w:p>
        </w:tc>
        <w:tc>
          <w:tcPr>
            <w:tcW w:type="dxa" w:w="7231"/>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The rails thesis; three doors; term-sheet skeleton; deployment calendar</w:t>
            </w:r>
          </w:p>
        </w:tc>
      </w:tr>
      <w:tr>
        <w:trPr>
          <w:cantSplit/>
          <w:tblHeader w:val="false"/>
        </w:trPr>
        <w:tc>
          <w:tcPr>
            <w:tcW w:type="dxa" w:w="2849"/>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sponsor-ally.fifthwallpe.com</w:t>
            </w:r>
          </w:p>
        </w:tc>
        <w:tc>
          <w:tcPr>
            <w:tcW w:type="dxa" w:w="7231"/>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Option 4 ladder; Kia primary; signing sequence; 120-day roadmap</w:t>
            </w:r>
          </w:p>
        </w:tc>
      </w:tr>
      <w:tr>
        <w:trPr>
          <w:cantSplit/>
          <w:tblHeader w:val="false"/>
        </w:trPr>
        <w:tc>
          <w:tcPr>
            <w:tcW w:type="dxa" w:w="2849"/>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anchor-allies.fifthwallpe.com</w:t>
            </w:r>
          </w:p>
        </w:tc>
        <w:tc>
          <w:tcPr>
            <w:tcW w:type="dxa" w:w="7231"/>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142 scored brands; four anchor types; offer package; 90-day outreach</w:t>
            </w:r>
          </w:p>
        </w:tc>
      </w:tr>
      <w:tr>
        <w:trPr>
          <w:cantSplit/>
          <w:tblHeader w:val="false"/>
        </w:trPr>
        <w:tc>
          <w:tcPr>
            <w:tcW w:type="dxa" w:w="2849"/>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landlord-math.fifthwallpe.com</w:t>
            </w:r>
          </w:p>
        </w:tc>
        <w:tc>
          <w:tcPr>
            <w:tcW w:type="dxa" w:w="7231"/>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Lease vs ally worksheet; floor guarantee logic</w:t>
            </w:r>
          </w:p>
        </w:tc>
      </w:tr>
      <w:tr>
        <w:trPr>
          <w:cantSplit/>
          <w:tblHeader w:val="false"/>
        </w:trPr>
        <w:tc>
          <w:tcPr>
            <w:tcW w:type="dxa" w:w="2849"/>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special-situation.alevelalliances.com</w:t>
            </w:r>
          </w:p>
        </w:tc>
        <w:tc>
          <w:tcPr>
            <w:tcW w:type="dxa" w:w="7231"/>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NPL framing of the box; incubation discipline; maturity wall</w:t>
            </w:r>
          </w:p>
        </w:tc>
      </w:tr>
      <w:tr>
        <w:trPr>
          <w:cantSplit/>
          <w:tblHeader w:val="false"/>
        </w:trPr>
        <w:tc>
          <w:tcPr>
            <w:tcW w:type="dxa" w:w="2849"/>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trust-ally.fifthwallpe.com</w:t>
            </w:r>
          </w:p>
        </w:tc>
        <w:tc>
          <w:tcPr>
            <w:tcW w:type="dxa" w:w="7231"/>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Field thesis; Qumbet lineage; golden share; the examination</w:t>
            </w:r>
          </w:p>
        </w:tc>
      </w:tr>
      <w:tr>
        <w:trPr>
          <w:cantSplit/>
          <w:tblHeader w:val="false"/>
        </w:trPr>
        <w:tc>
          <w:tcPr>
            <w:tcW w:type="dxa" w:w="2849"/>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marketoutlook.fifthwallpe.com</w:t>
            </w:r>
          </w:p>
        </w:tc>
        <w:tc>
          <w:tcPr>
            <w:tcW w:type="dxa" w:w="7231"/>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ICSC figures (2017–18), superseded by 2025–26 data per C17; not used here</w:t>
            </w:r>
          </w:p>
        </w:tc>
      </w:tr>
      <w:tr>
        <w:trPr>
          <w:cantSplit/>
          <w:tblHeader w:val="false"/>
        </w:trPr>
        <w:tc>
          <w:tcPr>
            <w:tcW w:type="dxa" w:w="2849"/>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Supporting</w:t>
            </w:r>
          </w:p>
        </w:tc>
        <w:tc>
          <w:tcPr>
            <w:tcW w:type="dxa" w:w="7231"/>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add-values-thirdplace.fifthwallpe.com (Investment Teaser); casestudies.fifthwallpe.com (Unit Economics)</w:t>
            </w:r>
          </w:p>
        </w:tc>
      </w:tr>
    </w:tbl>
    <w:p>
      <w:pPr>
        <w:spacing w:after="120"/>
      </w:pPr>
    </w:p>
    <w:p>
      <w:r>
        <w:br w:type="page"/>
      </w:r>
    </w:p>
    <w:p>
      <w:pPr>
        <w:pStyle w:val="Heading1"/>
      </w:pPr>
      <w:r>
        <w:rPr>
          <w:color w:val="0F5F5C"/>
        </w:rPr>
        <w:t xml:space="preserve">B </w:t>
      </w:r>
      <w:r>
        <w:t xml:space="preserve">Glossary</w:t>
      </w:r>
    </w:p>
    <w:p>
      <w:pPr>
        <w:pStyle w:val="ListParagraph"/>
        <w:numPr>
          <w:ilvl w:val="0"/>
          <w:numId w:val="3"/>
        </w:numPr>
        <w:spacing w:after="80" w:line="290"/>
      </w:pPr>
      <w:r>
        <w:rPr>
          <w:b/>
          <w:bCs/>
          <w:i w:val="false"/>
          <w:iCs w:val="false"/>
        </w:rPr>
        <w:t xml:space="preserve">RevPAM</w:t>
      </w:r>
      <w:r>
        <w:rPr>
          <w:i w:val="false"/>
          <w:iCs w:val="false"/>
        </w:rPr>
        <w:t xml:space="preserve"> — revenue per available metre, member or household; one definition, three scales.</w:t>
      </w:r>
    </w:p>
    <w:p>
      <w:pPr>
        <w:pStyle w:val="ListParagraph"/>
        <w:numPr>
          <w:ilvl w:val="0"/>
          <w:numId w:val="3"/>
        </w:numPr>
        <w:spacing w:after="80" w:line="290"/>
      </w:pPr>
      <w:r>
        <w:rPr>
          <w:b/>
          <w:bCs/>
          <w:i w:val="false"/>
          <w:iCs w:val="false"/>
        </w:rPr>
        <w:t xml:space="preserve">Third Place / Third Space / Third Channel</w:t>
      </w:r>
      <w:r>
        <w:rPr>
          <w:i w:val="false"/>
          <w:iCs w:val="false"/>
        </w:rPr>
        <w:t xml:space="preserve"> — the physical venue, the digital layer, and the sales channel that did not exist between consolidated chains and online marketplaces.</w:t>
      </w:r>
    </w:p>
    <w:p>
      <w:pPr>
        <w:pStyle w:val="ListParagraph"/>
        <w:numPr>
          <w:ilvl w:val="0"/>
          <w:numId w:val="3"/>
        </w:numPr>
        <w:spacing w:after="80" w:line="290"/>
      </w:pPr>
      <w:r>
        <w:rPr>
          <w:b/>
          <w:bCs/>
          <w:i w:val="false"/>
          <w:iCs w:val="false"/>
        </w:rPr>
        <w:t xml:space="preserve">Users &amp; Visitors &amp; Beyond</w:t>
      </w:r>
      <w:r>
        <w:rPr>
          <w:i w:val="false"/>
          <w:iCs w:val="false"/>
        </w:rPr>
        <w:t xml:space="preserve"> — the three membership families: people who use the building, people who visit it, and people connected to it without standing in it.</w:t>
      </w:r>
    </w:p>
    <w:p>
      <w:pPr>
        <w:pStyle w:val="ListParagraph"/>
        <w:numPr>
          <w:ilvl w:val="0"/>
          <w:numId w:val="3"/>
        </w:numPr>
        <w:spacing w:after="80" w:line="290"/>
      </w:pPr>
      <w:r>
        <w:rPr>
          <w:b/>
          <w:bCs/>
          <w:i w:val="false"/>
          <w:iCs w:val="false"/>
        </w:rPr>
        <w:t xml:space="preserve">Recognition, not access</w:t>
      </w:r>
      <w:r>
        <w:rPr>
          <w:i w:val="false"/>
          <w:iCs w:val="false"/>
        </w:rPr>
        <w:t xml:space="preserve"> — the founding principle of membership: the door is open; the tier decides who is introduced, who may teach, who is answerable.</w:t>
      </w:r>
    </w:p>
    <w:p>
      <w:pPr>
        <w:pStyle w:val="ListParagraph"/>
        <w:numPr>
          <w:ilvl w:val="0"/>
          <w:numId w:val="3"/>
        </w:numPr>
        <w:spacing w:after="80" w:line="290"/>
      </w:pPr>
      <w:r>
        <w:rPr>
          <w:b/>
          <w:bCs/>
          <w:i w:val="false"/>
          <w:iCs w:val="false"/>
        </w:rPr>
        <w:t xml:space="preserve">Payback rule</w:t>
      </w:r>
      <w:r>
        <w:rPr>
          <w:i w:val="false"/>
          <w:iCs w:val="false"/>
        </w:rPr>
        <w:t xml:space="preserve"> — the member must feel the fee returned within 30–45 days.</w:t>
      </w:r>
    </w:p>
    <w:p>
      <w:pPr>
        <w:pStyle w:val="ListParagraph"/>
        <w:numPr>
          <w:ilvl w:val="0"/>
          <w:numId w:val="3"/>
        </w:numPr>
        <w:spacing w:after="80" w:line="290"/>
      </w:pPr>
      <w:r>
        <w:rPr>
          <w:b/>
          <w:bCs/>
          <w:i w:val="false"/>
          <w:iCs w:val="false"/>
        </w:rPr>
        <w:t xml:space="preserve">Sovereign rail</w:t>
      </w:r>
      <w:r>
        <w:rPr>
          <w:i w:val="false"/>
          <w:iCs w:val="false"/>
        </w:rPr>
        <w:t xml:space="preserve"> — Atmosphere's own booking surface (OffNdOn), always live regardless of third-party rails.</w:t>
      </w:r>
    </w:p>
    <w:p>
      <w:pPr>
        <w:pStyle w:val="ListParagraph"/>
        <w:numPr>
          <w:ilvl w:val="0"/>
          <w:numId w:val="3"/>
        </w:numPr>
        <w:spacing w:after="80" w:line="290"/>
      </w:pPr>
      <w:r>
        <w:rPr>
          <w:b/>
          <w:bCs/>
          <w:i w:val="false"/>
          <w:iCs w:val="false"/>
        </w:rPr>
        <w:t xml:space="preserve">Cup League / Promising League</w:t>
      </w:r>
      <w:r>
        <w:rPr>
          <w:i w:val="false"/>
          <w:iCs w:val="false"/>
        </w:rPr>
        <w:t xml:space="preserve"> — scaling brands $10M–250M / $1M+ sellers; the core demand population.</w:t>
      </w:r>
    </w:p>
    <w:p>
      <w:pPr>
        <w:pStyle w:val="ListParagraph"/>
        <w:numPr>
          <w:ilvl w:val="0"/>
          <w:numId w:val="3"/>
        </w:numPr>
        <w:spacing w:after="80" w:line="290"/>
      </w:pPr>
      <w:r>
        <w:rPr>
          <w:b/>
          <w:bCs/>
          <w:i w:val="false"/>
          <w:iCs w:val="false"/>
        </w:rPr>
        <w:t xml:space="preserve">Rail-anchor</w:t>
      </w:r>
      <w:r>
        <w:rPr>
          <w:i w:val="false"/>
          <w:iCs w:val="false"/>
        </w:rPr>
        <w:t xml:space="preserve"> — a platform (Etsy, Faire, Depop, MakerWorld) that fills the positions with one agreement.</w:t>
      </w:r>
    </w:p>
    <w:p>
      <w:pPr>
        <w:pStyle w:val="ListParagraph"/>
        <w:numPr>
          <w:ilvl w:val="0"/>
          <w:numId w:val="3"/>
        </w:numPr>
        <w:spacing w:after="80" w:line="290"/>
      </w:pPr>
      <w:r>
        <w:rPr>
          <w:b/>
          <w:bCs/>
          <w:i w:val="false"/>
          <w:iCs w:val="false"/>
        </w:rPr>
        <w:t xml:space="preserve">PEIT™</w:t>
      </w:r>
      <w:r>
        <w:rPr>
          <w:i w:val="false"/>
          <w:iCs w:val="false"/>
        </w:rPr>
        <w:t xml:space="preserve"> — Phygital Estate Investment Trust; REIT-plus-operator design held for scale.</w:t>
      </w:r>
    </w:p>
    <w:p>
      <w:pPr>
        <w:pStyle w:val="ListParagraph"/>
        <w:numPr>
          <w:ilvl w:val="0"/>
          <w:numId w:val="3"/>
        </w:numPr>
        <w:spacing w:after="80" w:line="290"/>
      </w:pPr>
      <w:r>
        <w:rPr>
          <w:b/>
          <w:bCs/>
          <w:i w:val="false"/>
          <w:iCs w:val="false"/>
        </w:rPr>
        <w:t xml:space="preserve">Stewardship Mandate</w:t>
      </w:r>
      <w:r>
        <w:rPr>
          <w:i w:val="false"/>
          <w:iCs w:val="false"/>
        </w:rPr>
        <w:t xml:space="preserve"> — the Legal Ally's economics, fiduciary duty, narrow governance and escrow.</w:t>
      </w:r>
    </w:p>
    <w:p>
      <w:pPr>
        <w:pStyle w:val="ListParagraph"/>
        <w:numPr>
          <w:ilvl w:val="0"/>
          <w:numId w:val="3"/>
        </w:numPr>
        <w:spacing w:after="80" w:line="290"/>
      </w:pPr>
      <w:r>
        <w:rPr>
          <w:b/>
          <w:bCs/>
          <w:i w:val="false"/>
          <w:iCs w:val="false"/>
        </w:rPr>
        <w:t xml:space="preserve">The WeWork wound / the REEF wound / the Industrious doctrine</w:t>
      </w:r>
      <w:r>
        <w:rPr>
          <w:i w:val="false"/>
          <w:iCs w:val="false"/>
        </w:rPr>
        <w:t xml:space="preserve"> — the three precedent rules encoded in every document.</w:t>
      </w:r>
    </w:p>
    <w:sectPr>
      <w:headerReference w:type="default" r:id="rId7"/>
      <w:headerReference w:type="first" r:id="rId8"/>
      <w:footerReference w:type="default" r:id="rId9"/>
      <w:footerReference w:type="first" r:id="rId10"/>
      <w:pgSz w:w="12240" w:h="15840" w:orient="portrait"/>
      <w:pgMar w:top="1200" w:right="1080" w:bottom="1100" w:left="1080" w:header="540" w:footer="540"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5DBD6" w:sz="6" w:space="4"/>
      </w:pBdr>
      <w:tabs>
        <w:tab w:val="right" w:pos="10080"/>
      </w:tabs>
    </w:pPr>
    <w:r>
      <w:rPr>
        <w:rFonts w:ascii="Calibri" w:cs="Calibri" w:eastAsia="Calibri" w:hAnsi="Calibri"/>
        <w:color w:val="4A5561"/>
        <w:sz w:val="16"/>
        <w:szCs w:val="16"/>
      </w:rPr>
      <w:t xml:space="preserve">Value Masters Academy · A Level Alliances (ALA)</w:t>
    </w:r>
    <w:r>
      <w:rPr>
        <w:rFonts w:ascii="Calibri" w:cs="Calibri" w:eastAsia="Calibri" w:hAnsi="Calibri"/>
        <w:color w:val="4A5561"/>
        <w:sz w:val="16"/>
        <w:szCs w:val="16"/>
      </w:rPr>
      <w:t xml:space="preserve">	Page </w:t>
    </w:r>
    <w:r>
      <w:rPr>
        <w:rFonts w:ascii="Calibri" w:cs="Calibri" w:eastAsia="Calibri" w:hAnsi="Calibri"/>
        <w:color w:val="4A5561"/>
        <w:sz w:val="16"/>
        <w:szCs w:val="16"/>
      </w:rPr>
      <w:fldChar w:fldCharType="begin"/>
      <w:instrText xml:space="preserve">PAGE</w:instrText>
      <w:fldChar w:fldCharType="separate"/>
      <w:fldChar w:fldCharType="end"/>
    </w:r>
    <w:r>
      <w:rPr>
        <w:rFonts w:ascii="Calibri" w:cs="Calibri" w:eastAsia="Calibri" w:hAnsi="Calibri"/>
        <w:color w:val="4A5561"/>
        <w:sz w:val="16"/>
        <w:szCs w:val="16"/>
      </w:rPr>
      <w:t xml:space="preserve"> of </w:t>
    </w:r>
    <w:r>
      <w:rPr>
        <w:rFonts w:ascii="Calibri" w:cs="Calibri" w:eastAsia="Calibri" w:hAnsi="Calibri"/>
        <w:color w:val="4A5561"/>
        <w:sz w:val="16"/>
        <w:szCs w:val="16"/>
      </w:rPr>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r>
      <w:rPr>
        <w:rFonts w:ascii="Calibri" w:cs="Calibri" w:eastAsia="Calibri" w:hAnsi="Calibri"/>
        <w:color w:val="4A5561"/>
        <w:sz w:val="14"/>
        <w:szCs w:val="14"/>
      </w:rPr>
      <w:t xml:space="preserve">Advisory notice. All information, documents, definitions, calculations and pricing prepared by Value Masters Academy for A Level Alliances are prepared as recommendations to the Founders' Council. They are submitted for deliberation and resolution and do not constitute a decision, a commitment, an offer of securities, or investment, legal, tax or accounting advice. Figures drawn from public sources have not been independently verified; indicative bands and illustrative frameworks are not projections. Value Masters Academy for A Level Alliances (ALA) · Atmosphere™ · Formation Round Playbook · Rev.02 · 3 September 2026 · Strictly private and confidential — Founders' Council and admitted allies only. Atmosphere™, 5th Wall Phygital Elements™, PingPod™, OffNdOn™, HuxNet™, Fifth Signal™ and PEIT™ are marks of A Level Alliances / Value Masters Group.</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D5DBD6" w:sz="6" w:space="4"/>
      </w:pBdr>
      <w:tabs>
        <w:tab w:val="right" w:pos="10080"/>
      </w:tabs>
    </w:pPr>
    <w:r>
      <w:rPr>
        <w:rFonts w:ascii="Calibri" w:cs="Calibri" w:eastAsia="Calibri" w:hAnsi="Calibri"/>
        <w:color w:val="4A5561"/>
        <w:sz w:val="16"/>
        <w:szCs w:val="16"/>
      </w:rPr>
      <w:t xml:space="preserve">Atmosphere™ · Formation Round Playbook · Rev.02</w:t>
    </w:r>
    <w:r>
      <w:rPr>
        <w:rFonts w:ascii="Calibri" w:cs="Calibri" w:eastAsia="Calibri" w:hAnsi="Calibri"/>
        <w:color w:val="4A5561"/>
        <w:sz w:val="16"/>
        <w:szCs w:val="16"/>
      </w:rPr>
      <w:t xml:space="preserve">	Strictly private and confidential</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80" w:hanging="280"/>
      </w:pPr>
    </w:lvl>
  </w:abstractNum>
  <w:abstractNum w:abstractNumId="3" w15:restartNumberingAfterBreak="0">
    <w:multiLevelType w:val="hybridMultilevel"/>
    <w:lvl w:ilvl="0" w15:tentative="1">
      <w:start w:val="1"/>
      <w:numFmt w:val="decimal"/>
      <w:lvlText w:val="%1."/>
      <w:lvlJc w:val="left"/>
      <w:pPr>
        <w:ind w:left="480" w:hanging="280"/>
      </w:pPr>
    </w:lvl>
  </w:abstractNum>
  <w:abstractNum w:abstractNumId="4" w15:restartNumberingAfterBreak="0">
    <w:multiLevelType w:val="hybridMultilevel"/>
    <w:lvl w:ilvl="0" w15:tentative="1">
      <w:start w:val="1"/>
      <w:numFmt w:val="decimal"/>
      <w:lvlText w:val="%1."/>
      <w:lvlJc w:val="left"/>
      <w:pPr>
        <w:ind w:left="480" w:hanging="280"/>
      </w:pPr>
    </w:lvl>
  </w:abstractNum>
  <w:abstractNum w:abstractNumId="5" w15:restartNumberingAfterBreak="0">
    <w:multiLevelType w:val="hybridMultilevel"/>
    <w:lvl w:ilvl="0" w15:tentative="1">
      <w:start w:val="1"/>
      <w:numFmt w:val="decimal"/>
      <w:lvlText w:val="%1."/>
      <w:lvlJc w:val="left"/>
      <w:pPr>
        <w:ind w:left="480" w:hanging="280"/>
      </w:pPr>
    </w:lvl>
  </w:abstractNum>
  <w:abstractNum w:abstractNumId="6" w15:restartNumberingAfterBreak="0">
    <w:multiLevelType w:val="hybridMultilevel"/>
    <w:lvl w:ilvl="0" w15:tentative="1">
      <w:start w:val="1"/>
      <w:numFmt w:val="decimal"/>
      <w:lvlText w:val="%1."/>
      <w:lvlJc w:val="left"/>
      <w:pPr>
        <w:ind w:left="480" w:hanging="280"/>
      </w:pPr>
    </w:lvl>
  </w:abstractNum>
  <w:abstractNum w:abstractNumId="7" w15:restartNumberingAfterBreak="0">
    <w:multiLevelType w:val="hybridMultilevel"/>
    <w:lvl w:ilvl="0" w15:tentative="1">
      <w:start w:val="1"/>
      <w:numFmt w:val="decimal"/>
      <w:lvlText w:val="%1."/>
      <w:lvlJc w:val="left"/>
      <w:pPr>
        <w:ind w:left="480" w:hanging="280"/>
      </w:pPr>
    </w:lvl>
  </w:abstractNum>
  <w:abstractNum w:abstractNumId="8" w15:restartNumberingAfterBreak="0">
    <w:multiLevelType w:val="hybridMultilevel"/>
    <w:lvl w:ilvl="0" w15:tentative="1">
      <w:start w:val="1"/>
      <w:numFmt w:val="decimal"/>
      <w:lvlText w:val="%1."/>
      <w:lvlJc w:val="left"/>
      <w:pPr>
        <w:ind w:left="480" w:hanging="280"/>
      </w:pPr>
    </w:lvl>
  </w:abstractNum>
  <w:abstractNum w:abstractNumId="9" w15:restartNumberingAfterBreak="0">
    <w:multiLevelType w:val="hybridMultilevel"/>
    <w:lvl w:ilvl="0" w15:tentative="1">
      <w:start w:val="1"/>
      <w:numFmt w:val="decimal"/>
      <w:lvlText w:val="%1."/>
      <w:lvlJc w:val="left"/>
      <w:pPr>
        <w:ind w:left="480" w:hanging="280"/>
      </w:pPr>
    </w:lvl>
  </w:abstractNum>
  <w:abstractNum w:abstractNumId="10" w15:restartNumberingAfterBreak="0">
    <w:multiLevelType w:val="hybridMultilevel"/>
    <w:lvl w:ilvl="0" w15:tentative="1">
      <w:start w:val="1"/>
      <w:numFmt w:val="decimal"/>
      <w:lvlText w:val="%1."/>
      <w:lvlJc w:val="left"/>
      <w:pPr>
        <w:ind w:left="480" w:hanging="280"/>
      </w:pPr>
    </w:lvl>
  </w:abstractNum>
  <w:abstractNum w:abstractNumId="11" w15:restartNumberingAfterBreak="0">
    <w:multiLevelType w:val="hybridMultilevel"/>
    <w:lvl w:ilvl="0" w15:tentative="1">
      <w:start w:val="1"/>
      <w:numFmt w:val="decimal"/>
      <w:lvlText w:val="%1."/>
      <w:lvlJc w:val="left"/>
      <w:pPr>
        <w:ind w:left="480" w:hanging="280"/>
      </w:pPr>
    </w:lvl>
  </w:abstractNum>
  <w:abstractNum w:abstractNumId="12" w15:restartNumberingAfterBreak="0">
    <w:multiLevelType w:val="hybridMultilevel"/>
    <w:lvl w:ilvl="0" w15:tentative="1">
      <w:start w:val="1"/>
      <w:numFmt w:val="decimal"/>
      <w:lvlText w:val="%1."/>
      <w:lvlJc w:val="left"/>
      <w:pPr>
        <w:ind w:left="480" w:hanging="280"/>
      </w:pPr>
    </w:lvl>
  </w:abstractNum>
  <w:abstractNum w:abstractNumId="13" w15:restartNumberingAfterBreak="0">
    <w:multiLevelType w:val="hybridMultilevel"/>
    <w:lvl w:ilvl="0" w15:tentative="1">
      <w:start w:val="1"/>
      <w:numFmt w:val="decimal"/>
      <w:lvlText w:val="%1."/>
      <w:lvlJc w:val="left"/>
      <w:pPr>
        <w:ind w:left="480" w:hanging="280"/>
      </w:pPr>
    </w:lvl>
  </w:abstractNum>
  <w:abstractNum w:abstractNumId="14" w15:restartNumberingAfterBreak="0">
    <w:multiLevelType w:val="hybridMultilevel"/>
    <w:lvl w:ilvl="0" w15:tentative="1">
      <w:start w:val="1"/>
      <w:numFmt w:val="decimal"/>
      <w:lvlText w:val="%1."/>
      <w:lvlJc w:val="left"/>
      <w:pPr>
        <w:ind w:left="480" w:hanging="280"/>
      </w:pPr>
    </w:lvl>
  </w:abstractNum>
  <w:abstractNum w:abstractNumId="15" w15:restartNumberingAfterBreak="0">
    <w:multiLevelType w:val="hybridMultilevel"/>
    <w:lvl w:ilvl="0" w15:tentative="1">
      <w:start w:val="1"/>
      <w:numFmt w:val="decimal"/>
      <w:lvlText w:val="%1."/>
      <w:lvlJc w:val="left"/>
      <w:pPr>
        <w:ind w:left="480" w:hanging="280"/>
      </w:pPr>
    </w:lvl>
  </w:abstractNum>
  <w:abstractNum w:abstractNumId="16" w15:restartNumberingAfterBreak="0">
    <w:multiLevelType w:val="hybridMultilevel"/>
    <w:lvl w:ilvl="0" w15:tentative="1">
      <w:start w:val="1"/>
      <w:numFmt w:val="decimal"/>
      <w:lvlText w:val="%1."/>
      <w:lvlJc w:val="left"/>
      <w:pPr>
        <w:ind w:left="480" w:hanging="280"/>
      </w:pPr>
    </w:lvl>
  </w:abstractNum>
  <w:abstractNum w:abstractNumId="17" w15:restartNumberingAfterBreak="0">
    <w:multiLevelType w:val="hybridMultilevel"/>
    <w:lvl w:ilvl="0" w15:tentative="1">
      <w:start w:val="1"/>
      <w:numFmt w:val="decimal"/>
      <w:lvlText w:val="%1."/>
      <w:lvlJc w:val="left"/>
      <w:pPr>
        <w:ind w:left="480" w:hanging="280"/>
      </w:pPr>
    </w:lvl>
  </w:abstractNum>
  <w:num w:numId="1">
    <w:abstractNumId w:val="1"/>
    <w:lvlOverride w:ilvl="0">
      <w:startOverride w:val="1"/>
    </w:lvlOverride>
  </w:num>
  <w:num w:numId="2">
    <w:abstractNumId w:val="7"/>
    <w:lvlOverride w:ilvl="0">
      <w:startOverride w:val="1"/>
    </w:lvlOverride>
  </w:num>
  <w:num w:numId="3">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B2530"/>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pBdr>
        <w:bottom w:val="single" w:color="1B2530" w:sz="12" w:space="6"/>
      </w:pBdr>
      <w:spacing w:after="240" w:before="120"/>
      <w:outlineLvl w:val="0"/>
    </w:pPr>
    <w:rPr>
      <w:rFonts w:ascii="Georgia" w:cs="Georgia" w:eastAsia="Georgia" w:hAnsi="Georgia"/>
      <w:b/>
      <w:bCs/>
      <w:color w:val="1B2530"/>
      <w:sz w:val="34"/>
      <w:szCs w:val="34"/>
    </w:rPr>
  </w:style>
  <w:style w:type="paragraph" w:styleId="Heading2">
    <w:name w:val="Heading 2"/>
    <w:basedOn w:val="Normal"/>
    <w:next w:val="Normal"/>
    <w:qFormat/>
    <w:pPr>
      <w:keepNext/>
      <w:spacing w:after="120" w:before="280"/>
      <w:outlineLvl w:val="1"/>
    </w:pPr>
    <w:rPr>
      <w:rFonts w:ascii="Georgia" w:cs="Georgia" w:eastAsia="Georgia" w:hAnsi="Georgia"/>
      <w:b/>
      <w:bCs/>
      <w:color w:val="0F5F5C"/>
      <w:sz w:val="25"/>
      <w:szCs w:val="25"/>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Formation Round Playbook</dc:title>
  <dc:creator>Value Masters Academy</dc:creator>
  <dc:description>The business plan for Atmosphere's first venue and the playbook for the alliance that funds it: seven revenue lines, an eleven-position skeleton, a membership architecture that sells recognition rather than access, and a ~$8M round released in two gated tranches.</dc:description>
  <cp:lastModifiedBy>Un-named</cp:lastModifiedBy>
  <cp:revision>1</cp:revision>
  <dcterms:created xsi:type="dcterms:W3CDTF">2026-09-04T02:28:36.886Z</dcterms:created>
  <dcterms:modified xsi:type="dcterms:W3CDTF">2026-09-04T02:28:36.886Z</dcterms:modified>
</cp:coreProperties>
</file>

<file path=docProps/custom.xml><?xml version="1.0" encoding="utf-8"?>
<Properties xmlns="http://schemas.openxmlformats.org/officeDocument/2006/custom-properties" xmlns:vt="http://schemas.openxmlformats.org/officeDocument/2006/docPropsVTypes"/>
</file>