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pPr>
      <w:r>
        <w:rPr>
          <w:rFonts w:ascii="Georgia" w:cs="Georgia" w:eastAsia="Georgia" w:hAnsi="Georgia"/>
          <w:b/>
          <w:bCs/>
          <w:color w:val="0F5F5C"/>
          <w:sz w:val="24"/>
          <w:szCs w:val="24"/>
        </w:rPr>
        <w:t xml:space="preserve">Value Masters Academy</w:t>
      </w:r>
    </w:p>
    <w:p>
      <w:pPr>
        <w:spacing w:after="1400"/>
      </w:pPr>
      <w:r>
        <w:rPr>
          <w:rFonts w:ascii="Calibri" w:cs="Calibri" w:eastAsia="Calibri" w:hAnsi="Calibri"/>
          <w:color w:val="4A5561"/>
          <w:sz w:val="20"/>
          <w:szCs w:val="20"/>
        </w:rPr>
        <w:t xml:space="preserve">Value Masters Academy tarafından A Level Alliances (ALA) için hazırlanmıştır</w:t>
      </w:r>
    </w:p>
    <w:p>
      <w:pPr>
        <w:spacing w:after="120"/>
      </w:pPr>
      <w:r>
        <w:rPr>
          <w:rFonts w:ascii="Georgia" w:cs="Georgia" w:eastAsia="Georgia" w:hAnsi="Georgia"/>
          <w:color w:val="1B2530"/>
          <w:sz w:val="36"/>
          <w:szCs w:val="36"/>
        </w:rPr>
        <w:t xml:space="preserve">Atmosphere™</w:t>
      </w:r>
    </w:p>
    <w:p>
      <w:pPr>
        <w:spacing w:after="300"/>
      </w:pPr>
      <w:r>
        <w:rPr>
          <w:rFonts w:ascii="Georgia" w:cs="Georgia" w:eastAsia="Georgia" w:hAnsi="Georgia"/>
          <w:b/>
          <w:bCs/>
          <w:color w:val="1B2530"/>
          <w:sz w:val="64"/>
          <w:szCs w:val="64"/>
        </w:rPr>
        <w:t xml:space="preserve">Kuruluş Turu Playbook'u</w:t>
      </w:r>
    </w:p>
    <w:p>
      <w:pPr>
        <w:pBdr>
          <w:left w:val="single" w:color="0F5F5C" w:sz="24" w:space="12"/>
        </w:pBdr>
        <w:spacing w:after="500" w:line="320"/>
        <w:ind w:left="200"/>
      </w:pPr>
      <w:r>
        <w:rPr>
          <w:rFonts w:ascii="Georgia" w:cs="Georgia" w:eastAsia="Georgia" w:hAnsi="Georgia"/>
          <w:color w:val="4A5561"/>
          <w:sz w:val="24"/>
          <w:szCs w:val="24"/>
        </w:rPr>
        <w:t xml:space="preserve">Atmosphere'in ilk mekânı için iş planı ve onu finanse eden ittifakın playbook'u: yedi gelir hattı, on bir pozisyonlu iskelet, erişim değil tanınırlık satan bir üyelik mimarisi ve iki kapılı tranşla serbest bırakılan ~8 milyon dolarlık tur.</w:t>
      </w:r>
    </w:p>
    <w:p>
      <w:pPr>
        <w:spacing w:after="100"/>
      </w:pPr>
      <w:r>
        <w:rPr>
          <w:rFonts w:ascii="Calibri" w:cs="Calibri" w:eastAsia="Calibri" w:hAnsi="Calibri"/>
          <w:color w:val="4A5561"/>
          <w:sz w:val="20"/>
          <w:szCs w:val="20"/>
        </w:rPr>
        <w:t xml:space="preserve">Kuruluş Turu'na katılması öngörülen (doğrulanmış akredite) yatırımcılar ve Kurucular Konseyi'nde müzakere için hazırlanmıştır · Çalışma taslağı · 3 Eylül 2026</w:t>
      </w:r>
    </w:p>
    <w:p>
      <w:pPr>
        <w:spacing w:after="100"/>
      </w:pPr>
      <w:r>
        <w:rPr>
          <w:rFonts w:ascii="Calibri" w:cs="Calibri" w:eastAsia="Calibri" w:hAnsi="Calibri"/>
          <w:color w:val="4A5561"/>
          <w:sz w:val="20"/>
          <w:szCs w:val="20"/>
        </w:rPr>
        <w:t xml:space="preserve">Kurucular Konseyi’nde müzakere ve karar için hazırlanmış tavsiye belgesi</w:t>
      </w:r>
    </w:p>
    <w:p>
      <w:pPr>
        <w:spacing w:before="1800"/>
      </w:pPr>
      <w:r>
        <w:rPr>
          <w:rFonts w:ascii="Calibri" w:cs="Calibri" w:eastAsia="Calibri" w:hAnsi="Calibri"/>
          <w:b/>
          <w:bCs/>
          <w:color w:val="1B2530"/>
          <w:sz w:val="20"/>
          <w:szCs w:val="20"/>
        </w:rPr>
        <w:t xml:space="preserve">Kesinlikle özel ve gizli</w:t>
      </w:r>
    </w:p>
    <w:p>
      <w:r>
        <w:rPr>
          <w:rFonts w:ascii="Calibri" w:cs="Calibri" w:eastAsia="Calibri" w:hAnsi="Calibri"/>
          <w:color w:val="4A5561"/>
          <w:sz w:val="20"/>
          <w:szCs w:val="20"/>
        </w:rPr>
        <w:t xml:space="preserve">Rev.02 · 3.9.2026</w:t>
      </w:r>
    </w:p>
    <w:p>
      <w:r>
        <w:br w:type="page"/>
      </w:r>
    </w:p>
    <w:p>
      <w:pPr>
        <w:pStyle w:val="Heading1"/>
      </w:pPr>
      <w:r>
        <w:t xml:space="preserve">Tavsiye uyarısı</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0F5F5C" w:sz="18"/>
              <w:left w:val="single" w:color="0F5F5C" w:sz="18"/>
              <w:bottom w:val="single" w:color="0F5F5C" w:sz="18"/>
              <w:right w:val="single" w:color="0F5F5C" w:sz="18"/>
            </w:tcBorders>
            <w:shd w:fill="D6E7E4" w:color="auto" w:val="clear"/>
            <w:tcMar>
              <w:top w:type="dxa" w:w="240"/>
              <w:left w:type="dxa" w:w="280"/>
              <w:bottom w:type="dxa" w:w="240"/>
              <w:right w:type="dxa" w:w="280"/>
            </w:tcMar>
          </w:tcPr>
          <w:p>
            <w:pPr>
              <w:spacing w:after="200" w:line="320"/>
            </w:pPr>
            <w:r>
              <w:rPr>
                <w:b/>
                <w:bCs/>
                <w:i w:val="false"/>
                <w:iCs w:val="false"/>
                <w:sz w:val="22"/>
                <w:szCs w:val="22"/>
              </w:rPr>
              <w:t xml:space="preserve">Bu belgenin statüsü.</w:t>
            </w:r>
            <w:r>
              <w:rPr>
                <w:i w:val="false"/>
                <w:iCs w:val="false"/>
                <w:sz w:val="22"/>
                <w:szCs w:val="22"/>
              </w:rPr>
              <w:t xml:space="preserve"> Value Masters Academy tarafından A Level Alliances için hazırlanan tüm bilgi, belge, tanımlama, hesaplama ve fiyatlandırmalar Kurucular Konseyi'ne tavsiye niteliğinde hazırlanmıştır. Burada yer alan hiçbir şey bir karar, taahhüt, menkul kıymet arzı ya da yatırım, hukuk, vergi veya muhasebe tavsiyesi değildir. Her rakam göstergedir; her açık madde </w:t>
            </w:r>
            <w:r>
              <w:rPr>
                <w:b/>
                <w:bCs/>
                <w:i w:val="false"/>
                <w:iCs w:val="false"/>
                <w:color w:val="8A5A12"/>
                <w:sz w:val="22"/>
                <w:szCs w:val="22"/>
                <w:shd w:fill="F6ECD7" w:val="clear"/>
              </w:rPr>
              <w:t xml:space="preserve">[Konsey karar verir]</w:t>
            </w:r>
            <w:r>
              <w:rPr>
                <w:i w:val="false"/>
                <w:iCs w:val="false"/>
                <w:sz w:val="22"/>
                <w:szCs w:val="22"/>
              </w:rPr>
              <w:t xml:space="preserve"> olarak işaretlenmiştir. Üçüncü taraflar yalnızca bağımsız pazar referansı olarak anılmaktadır. Burada kullanılan "5th Wall" adı, aynı adı taşıyan girişim sermayesi firmasıyla ilgisizdir.</w:t>
            </w:r>
          </w:p>
          <w:p>
            <w:pPr>
              <w:spacing w:after="0" w:line="320"/>
            </w:pPr>
            <w:r>
              <w:rPr>
                <w:b/>
                <w:bCs/>
                <w:i w:val="false"/>
                <w:iCs w:val="false"/>
                <w:sz w:val="22"/>
                <w:szCs w:val="22"/>
              </w:rPr>
              <w:t xml:space="preserve">Tavsiye uyarısı.</w:t>
            </w:r>
            <w:r>
              <w:rPr>
                <w:i w:val="false"/>
                <w:iCs w:val="false"/>
                <w:sz w:val="22"/>
                <w:szCs w:val="22"/>
              </w:rPr>
              <w:t xml:space="preserve"> Value Masters Academy tarafından A Level Alliances için hazırlanan tüm bilgi, belge, tanımlama, hesaplama ve fiyatlandırmalar Kurucular Konseyi'ne tavsiye niteliğinde hazırlanmıştır. Müzakere ve karar için sunulmuş olup bir karar, taahhüt, menkul kıymet arzı ya da yatırım, hukuk, vergi veya muhasebe tavsiyesi teşkil etmez. Kamuya açık kaynaklardan alınan rakamlar bağımsız olarak doğrulanmamıştır; gösterge bantlar ve örnek çerçeveler projeksiyon değildir.</w:t>
            </w:r>
          </w:p>
        </w:tc>
      </w:tr>
    </w:tbl>
    <w:p>
      <w:pPr>
        <w:spacing w:before="300"/>
      </w:pPr>
      <w:r>
        <w:rPr>
          <w:rFonts w:ascii="Calibri" w:cs="Calibri" w:eastAsia="Calibri" w:hAnsi="Calibri"/>
          <w:color w:val="4A5561"/>
          <w:sz w:val="18"/>
          <w:szCs w:val="18"/>
        </w:rPr>
        <w:t xml:space="preserve">Value Masters Academy — A Level Alliances (ALA) için  ·  Atmosphere™ · Kuruluş Turu Playbook'u · Rev.02 · Eylül 2026</w:t>
      </w:r>
    </w:p>
    <w:p>
      <w:r>
        <w:br w:type="page"/>
      </w:r>
    </w:p>
    <w:p>
      <w:pPr>
        <w:pStyle w:val="Heading1"/>
      </w:pPr>
      <w:r>
        <w:t xml:space="preserve">İçindekiler</w:t>
      </w:r>
    </w:p>
    <w:p>
      <w:pPr>
        <w:tabs>
          <w:tab w:val="right" w:pos="10080" w:leader="dot"/>
        </w:tabs>
        <w:spacing w:after="90" w:line="300"/>
      </w:pPr>
      <w:r>
        <w:rPr>
          <w:rFonts w:ascii="Georgia" w:cs="Georgia" w:eastAsia="Georgia" w:hAnsi="Georgia"/>
          <w:b/>
          <w:bCs/>
          <w:color w:val="0F5F5C"/>
          <w:sz w:val="22"/>
          <w:szCs w:val="22"/>
        </w:rPr>
        <w:t xml:space="preserve">1</w:t>
      </w:r>
      <w:r>
        <w:rPr>
          <w:rFonts w:ascii="Georgia" w:cs="Georgia" w:eastAsia="Georgia" w:hAnsi="Georgia"/>
          <w:color w:val="1B2530"/>
          <w:sz w:val="22"/>
          <w:szCs w:val="22"/>
        </w:rPr>
        <w:t xml:space="preserve"> Yönetici özeti</w:t>
      </w:r>
      <w:r>
        <w:rPr>
          <w:rFonts w:ascii="Calibri" w:cs="Calibri" w:eastAsia="Calibri" w:hAnsi="Calibri"/>
          <w:color w:val="4A5561"/>
          <w:sz w:val="20"/>
          <w:szCs w:val="20"/>
        </w:rPr>
        <w:t xml:space="preserve">	4</w:t>
      </w:r>
    </w:p>
    <w:p>
      <w:pPr>
        <w:tabs>
          <w:tab w:val="right" w:pos="10080" w:leader="dot"/>
        </w:tabs>
        <w:spacing w:after="90" w:line="300"/>
      </w:pPr>
      <w:r>
        <w:rPr>
          <w:rFonts w:ascii="Georgia" w:cs="Georgia" w:eastAsia="Georgia" w:hAnsi="Georgia"/>
          <w:b/>
          <w:bCs/>
          <w:color w:val="0F5F5C"/>
          <w:sz w:val="22"/>
          <w:szCs w:val="22"/>
        </w:rPr>
        <w:t xml:space="preserve">2</w:t>
      </w:r>
      <w:r>
        <w:rPr>
          <w:rFonts w:ascii="Georgia" w:cs="Georgia" w:eastAsia="Georgia" w:hAnsi="Georgia"/>
          <w:color w:val="1B2530"/>
          <w:sz w:val="22"/>
          <w:szCs w:val="22"/>
        </w:rPr>
        <w:t xml:space="preserve"> Fırsat — iki uyumsuzluk, tek kutu</w:t>
      </w:r>
      <w:r>
        <w:rPr>
          <w:rFonts w:ascii="Calibri" w:cs="Calibri" w:eastAsia="Calibri" w:hAnsi="Calibri"/>
          <w:color w:val="4A5561"/>
          <w:sz w:val="20"/>
          <w:szCs w:val="20"/>
        </w:rPr>
        <w:t xml:space="preserve">	5</w:t>
      </w:r>
    </w:p>
    <w:p>
      <w:pPr>
        <w:tabs>
          <w:tab w:val="right" w:pos="10080" w:leader="dot"/>
        </w:tabs>
        <w:spacing w:after="90" w:line="300"/>
      </w:pPr>
      <w:r>
        <w:rPr>
          <w:rFonts w:ascii="Georgia" w:cs="Georgia" w:eastAsia="Georgia" w:hAnsi="Georgia"/>
          <w:b/>
          <w:bCs/>
          <w:color w:val="0F5F5C"/>
          <w:sz w:val="22"/>
          <w:szCs w:val="22"/>
        </w:rPr>
        <w:t xml:space="preserve">3</w:t>
      </w:r>
      <w:r>
        <w:rPr>
          <w:rFonts w:ascii="Georgia" w:cs="Georgia" w:eastAsia="Georgia" w:hAnsi="Georgia"/>
          <w:color w:val="1B2530"/>
          <w:sz w:val="22"/>
          <w:szCs w:val="22"/>
        </w:rPr>
        <w:t xml:space="preserve"> Ürün — tek kat, yedi kazanç yolu</w:t>
      </w:r>
      <w:r>
        <w:rPr>
          <w:rFonts w:ascii="Calibri" w:cs="Calibri" w:eastAsia="Calibri" w:hAnsi="Calibri"/>
          <w:color w:val="4A5561"/>
          <w:sz w:val="20"/>
          <w:szCs w:val="20"/>
        </w:rPr>
        <w:t xml:space="preserve">	7</w:t>
      </w:r>
    </w:p>
    <w:p>
      <w:pPr>
        <w:tabs>
          <w:tab w:val="right" w:pos="10080" w:leader="dot"/>
        </w:tabs>
        <w:spacing w:after="90" w:line="300"/>
      </w:pPr>
      <w:r>
        <w:rPr>
          <w:rFonts w:ascii="Georgia" w:cs="Georgia" w:eastAsia="Georgia" w:hAnsi="Georgia"/>
          <w:b/>
          <w:bCs/>
          <w:color w:val="0F5F5C"/>
          <w:sz w:val="22"/>
          <w:szCs w:val="22"/>
        </w:rPr>
        <w:t xml:space="preserve">4</w:t>
      </w:r>
      <w:r>
        <w:rPr>
          <w:rFonts w:ascii="Georgia" w:cs="Georgia" w:eastAsia="Georgia" w:hAnsi="Georgia"/>
          <w:color w:val="1B2530"/>
          <w:sz w:val="22"/>
          <w:szCs w:val="22"/>
        </w:rPr>
        <w:t xml:space="preserve"> Kullanıcılar, Ziyaretçiler ve Ötesi — üyelik mimarisi</w:t>
      </w:r>
      <w:r>
        <w:rPr>
          <w:rFonts w:ascii="Calibri" w:cs="Calibri" w:eastAsia="Calibri" w:hAnsi="Calibri"/>
          <w:color w:val="4A5561"/>
          <w:sz w:val="20"/>
          <w:szCs w:val="20"/>
        </w:rPr>
        <w:t xml:space="preserve">	9</w:t>
      </w:r>
    </w:p>
    <w:p>
      <w:pPr>
        <w:tabs>
          <w:tab w:val="right" w:pos="10080" w:leader="dot"/>
        </w:tabs>
        <w:spacing w:after="90" w:line="300"/>
      </w:pPr>
      <w:r>
        <w:rPr>
          <w:rFonts w:ascii="Georgia" w:cs="Georgia" w:eastAsia="Georgia" w:hAnsi="Georgia"/>
          <w:b/>
          <w:bCs/>
          <w:color w:val="0F5F5C"/>
          <w:sz w:val="22"/>
          <w:szCs w:val="22"/>
        </w:rPr>
        <w:t xml:space="preserve">5</w:t>
      </w:r>
      <w:r>
        <w:rPr>
          <w:rFonts w:ascii="Georgia" w:cs="Georgia" w:eastAsia="Georgia" w:hAnsi="Georgia"/>
          <w:color w:val="1B2530"/>
          <w:sz w:val="22"/>
          <w:szCs w:val="22"/>
        </w:rPr>
        <w:t xml:space="preserve"> İş modeli ve birim ekonomisi</w:t>
      </w:r>
      <w:r>
        <w:rPr>
          <w:rFonts w:ascii="Calibri" w:cs="Calibri" w:eastAsia="Calibri" w:hAnsi="Calibri"/>
          <w:color w:val="4A5561"/>
          <w:sz w:val="20"/>
          <w:szCs w:val="20"/>
        </w:rPr>
        <w:t xml:space="preserve">	14</w:t>
      </w:r>
    </w:p>
    <w:p>
      <w:pPr>
        <w:tabs>
          <w:tab w:val="right" w:pos="10080" w:leader="dot"/>
        </w:tabs>
        <w:spacing w:after="90" w:line="300"/>
      </w:pPr>
      <w:r>
        <w:rPr>
          <w:rFonts w:ascii="Georgia" w:cs="Georgia" w:eastAsia="Georgia" w:hAnsi="Georgia"/>
          <w:b/>
          <w:bCs/>
          <w:color w:val="0F5F5C"/>
          <w:sz w:val="22"/>
          <w:szCs w:val="22"/>
        </w:rPr>
        <w:t xml:space="preserve">6</w:t>
      </w:r>
      <w:r>
        <w:rPr>
          <w:rFonts w:ascii="Georgia" w:cs="Georgia" w:eastAsia="Georgia" w:hAnsi="Georgia"/>
          <w:color w:val="1B2530"/>
          <w:sz w:val="22"/>
          <w:szCs w:val="22"/>
        </w:rPr>
        <w:t xml:space="preserve"> Emsaller — neyi kopyalıyoruz, neden kaçınıyoruz</w:t>
      </w:r>
      <w:r>
        <w:rPr>
          <w:rFonts w:ascii="Calibri" w:cs="Calibri" w:eastAsia="Calibri" w:hAnsi="Calibri"/>
          <w:color w:val="4A5561"/>
          <w:sz w:val="20"/>
          <w:szCs w:val="20"/>
        </w:rPr>
        <w:t xml:space="preserve">	16</w:t>
      </w:r>
    </w:p>
    <w:p>
      <w:pPr>
        <w:tabs>
          <w:tab w:val="right" w:pos="10080" w:leader="dot"/>
        </w:tabs>
        <w:spacing w:after="90" w:line="300"/>
      </w:pPr>
      <w:r>
        <w:rPr>
          <w:rFonts w:ascii="Georgia" w:cs="Georgia" w:eastAsia="Georgia" w:hAnsi="Georgia"/>
          <w:b/>
          <w:bCs/>
          <w:color w:val="0F5F5C"/>
          <w:sz w:val="22"/>
          <w:szCs w:val="22"/>
        </w:rPr>
        <w:t xml:space="preserve">7</w:t>
      </w:r>
      <w:r>
        <w:rPr>
          <w:rFonts w:ascii="Georgia" w:cs="Georgia" w:eastAsia="Georgia" w:hAnsi="Georgia"/>
          <w:color w:val="1B2530"/>
          <w:sz w:val="22"/>
          <w:szCs w:val="22"/>
        </w:rPr>
        <w:t xml:space="preserve"> İttifak İskeleti — sermayenin fonladığı şey</w:t>
      </w:r>
      <w:r>
        <w:rPr>
          <w:rFonts w:ascii="Calibri" w:cs="Calibri" w:eastAsia="Calibri" w:hAnsi="Calibri"/>
          <w:color w:val="4A5561"/>
          <w:sz w:val="20"/>
          <w:szCs w:val="20"/>
        </w:rPr>
        <w:t xml:space="preserve">	17</w:t>
      </w:r>
    </w:p>
    <w:p>
      <w:pPr>
        <w:tabs>
          <w:tab w:val="right" w:pos="10080" w:leader="dot"/>
        </w:tabs>
        <w:spacing w:after="90" w:line="300"/>
      </w:pPr>
      <w:r>
        <w:rPr>
          <w:rFonts w:ascii="Georgia" w:cs="Georgia" w:eastAsia="Georgia" w:hAnsi="Georgia"/>
          <w:b/>
          <w:bCs/>
          <w:color w:val="0F5F5C"/>
          <w:sz w:val="22"/>
          <w:szCs w:val="22"/>
        </w:rPr>
        <w:t xml:space="preserve">8</w:t>
      </w:r>
      <w:r>
        <w:rPr>
          <w:rFonts w:ascii="Georgia" w:cs="Georgia" w:eastAsia="Georgia" w:hAnsi="Georgia"/>
          <w:color w:val="1B2530"/>
          <w:sz w:val="22"/>
          <w:szCs w:val="22"/>
        </w:rPr>
        <w:t xml:space="preserve"> Kuruluş Turu</w:t>
      </w:r>
      <w:r>
        <w:rPr>
          <w:rFonts w:ascii="Calibri" w:cs="Calibri" w:eastAsia="Calibri" w:hAnsi="Calibri"/>
          <w:color w:val="4A5561"/>
          <w:sz w:val="20"/>
          <w:szCs w:val="20"/>
        </w:rPr>
        <w:t xml:space="preserve">	19</w:t>
      </w:r>
    </w:p>
    <w:p>
      <w:pPr>
        <w:tabs>
          <w:tab w:val="right" w:pos="10080" w:leader="dot"/>
        </w:tabs>
        <w:spacing w:after="90" w:line="300"/>
      </w:pPr>
      <w:r>
        <w:rPr>
          <w:rFonts w:ascii="Georgia" w:cs="Georgia" w:eastAsia="Georgia" w:hAnsi="Georgia"/>
          <w:b/>
          <w:bCs/>
          <w:color w:val="0F5F5C"/>
          <w:sz w:val="22"/>
          <w:szCs w:val="22"/>
        </w:rPr>
        <w:t xml:space="preserve">9</w:t>
      </w:r>
      <w:r>
        <w:rPr>
          <w:rFonts w:ascii="Georgia" w:cs="Georgia" w:eastAsia="Georgia" w:hAnsi="Georgia"/>
          <w:color w:val="1B2530"/>
          <w:sz w:val="22"/>
          <w:szCs w:val="22"/>
        </w:rPr>
        <w:t xml:space="preserve"> Sıralama playbook'u — kim ne zaman imzalar</w:t>
      </w:r>
      <w:r>
        <w:rPr>
          <w:rFonts w:ascii="Calibri" w:cs="Calibri" w:eastAsia="Calibri" w:hAnsi="Calibri"/>
          <w:color w:val="4A5561"/>
          <w:sz w:val="20"/>
          <w:szCs w:val="20"/>
        </w:rPr>
        <w:t xml:space="preserve">	21</w:t>
      </w:r>
    </w:p>
    <w:p>
      <w:pPr>
        <w:tabs>
          <w:tab w:val="right" w:pos="10080" w:leader="dot"/>
        </w:tabs>
        <w:spacing w:after="90" w:line="300"/>
      </w:pPr>
      <w:r>
        <w:rPr>
          <w:rFonts w:ascii="Georgia" w:cs="Georgia" w:eastAsia="Georgia" w:hAnsi="Georgia"/>
          <w:b/>
          <w:bCs/>
          <w:color w:val="0F5F5C"/>
          <w:sz w:val="22"/>
          <w:szCs w:val="22"/>
        </w:rPr>
        <w:t xml:space="preserve">10</w:t>
      </w:r>
      <w:r>
        <w:rPr>
          <w:rFonts w:ascii="Georgia" w:cs="Georgia" w:eastAsia="Georgia" w:hAnsi="Georgia"/>
          <w:color w:val="1B2530"/>
          <w:sz w:val="22"/>
          <w:szCs w:val="22"/>
        </w:rPr>
        <w:t xml:space="preserve"> Yönetişim ve yapı</w:t>
      </w:r>
      <w:r>
        <w:rPr>
          <w:rFonts w:ascii="Calibri" w:cs="Calibri" w:eastAsia="Calibri" w:hAnsi="Calibri"/>
          <w:color w:val="4A5561"/>
          <w:sz w:val="20"/>
          <w:szCs w:val="20"/>
        </w:rPr>
        <w:t xml:space="preserve">	23</w:t>
      </w:r>
    </w:p>
    <w:p>
      <w:pPr>
        <w:tabs>
          <w:tab w:val="right" w:pos="10080" w:leader="dot"/>
        </w:tabs>
        <w:spacing w:after="90" w:line="300"/>
      </w:pPr>
      <w:r>
        <w:rPr>
          <w:rFonts w:ascii="Georgia" w:cs="Georgia" w:eastAsia="Georgia" w:hAnsi="Georgia"/>
          <w:b/>
          <w:bCs/>
          <w:color w:val="0F5F5C"/>
          <w:sz w:val="22"/>
          <w:szCs w:val="22"/>
        </w:rPr>
        <w:t xml:space="preserve">11</w:t>
      </w:r>
      <w:r>
        <w:rPr>
          <w:rFonts w:ascii="Georgia" w:cs="Georgia" w:eastAsia="Georgia" w:hAnsi="Georgia"/>
          <w:color w:val="1B2530"/>
          <w:sz w:val="22"/>
          <w:szCs w:val="22"/>
        </w:rPr>
        <w:t xml:space="preserve"> Risk kütüğü — yatırımcı formunda baskı testi</w:t>
      </w:r>
      <w:r>
        <w:rPr>
          <w:rFonts w:ascii="Calibri" w:cs="Calibri" w:eastAsia="Calibri" w:hAnsi="Calibri"/>
          <w:color w:val="4A5561"/>
          <w:sz w:val="20"/>
          <w:szCs w:val="20"/>
        </w:rPr>
        <w:t xml:space="preserve">	24</w:t>
      </w:r>
    </w:p>
    <w:p>
      <w:pPr>
        <w:tabs>
          <w:tab w:val="right" w:pos="10080" w:leader="dot"/>
        </w:tabs>
        <w:spacing w:after="90" w:line="300"/>
      </w:pPr>
      <w:r>
        <w:rPr>
          <w:rFonts w:ascii="Georgia" w:cs="Georgia" w:eastAsia="Georgia" w:hAnsi="Georgia"/>
          <w:b/>
          <w:bCs/>
          <w:color w:val="0F5F5C"/>
          <w:sz w:val="22"/>
          <w:szCs w:val="22"/>
        </w:rPr>
        <w:t xml:space="preserve">12</w:t>
      </w:r>
      <w:r>
        <w:rPr>
          <w:rFonts w:ascii="Georgia" w:cs="Georgia" w:eastAsia="Georgia" w:hAnsi="Georgia"/>
          <w:color w:val="1B2530"/>
          <w:sz w:val="22"/>
          <w:szCs w:val="22"/>
        </w:rPr>
        <w:t xml:space="preserve"> On iki aylık skor tablosu — Venue-0'ın kanıtlaması gerekenler</w:t>
      </w:r>
      <w:r>
        <w:rPr>
          <w:rFonts w:ascii="Calibri" w:cs="Calibri" w:eastAsia="Calibri" w:hAnsi="Calibri"/>
          <w:color w:val="4A5561"/>
          <w:sz w:val="20"/>
          <w:szCs w:val="20"/>
        </w:rPr>
        <w:t xml:space="preserve">	26</w:t>
      </w:r>
    </w:p>
    <w:p>
      <w:pPr>
        <w:tabs>
          <w:tab w:val="right" w:pos="10080" w:leader="dot"/>
        </w:tabs>
        <w:spacing w:after="90" w:line="300"/>
      </w:pPr>
      <w:r>
        <w:rPr>
          <w:rFonts w:ascii="Georgia" w:cs="Georgia" w:eastAsia="Georgia" w:hAnsi="Georgia"/>
          <w:b/>
          <w:bCs/>
          <w:color w:val="0F5F5C"/>
          <w:sz w:val="22"/>
          <w:szCs w:val="22"/>
        </w:rPr>
        <w:t xml:space="preserve">13</w:t>
      </w:r>
      <w:r>
        <w:rPr>
          <w:rFonts w:ascii="Georgia" w:cs="Georgia" w:eastAsia="Georgia" w:hAnsi="Georgia"/>
          <w:color w:val="1B2530"/>
          <w:sz w:val="22"/>
          <w:szCs w:val="22"/>
        </w:rPr>
        <w:t xml:space="preserve"> Tur dışarı çıkmadan önce Konsey'in karara bağlaması gerekenler</w:t>
      </w:r>
      <w:r>
        <w:rPr>
          <w:rFonts w:ascii="Calibri" w:cs="Calibri" w:eastAsia="Calibri" w:hAnsi="Calibri"/>
          <w:color w:val="4A5561"/>
          <w:sz w:val="20"/>
          <w:szCs w:val="20"/>
        </w:rPr>
        <w:t xml:space="preserve">	27</w:t>
      </w:r>
    </w:p>
    <w:p>
      <w:pPr>
        <w:tabs>
          <w:tab w:val="right" w:pos="10080" w:leader="dot"/>
        </w:tabs>
        <w:spacing w:after="90" w:line="300"/>
      </w:pPr>
      <w:r>
        <w:rPr>
          <w:rFonts w:ascii="Georgia" w:cs="Georgia" w:eastAsia="Georgia" w:hAnsi="Georgia"/>
          <w:b/>
          <w:bCs/>
          <w:color w:val="0F5F5C"/>
          <w:sz w:val="22"/>
          <w:szCs w:val="22"/>
        </w:rPr>
        <w:t xml:space="preserve">A</w:t>
      </w:r>
      <w:r>
        <w:rPr>
          <w:rFonts w:ascii="Georgia" w:cs="Georgia" w:eastAsia="Georgia" w:hAnsi="Georgia"/>
          <w:color w:val="1B2530"/>
          <w:sz w:val="22"/>
          <w:szCs w:val="22"/>
        </w:rPr>
        <w:t xml:space="preserve"> Kaynaklar — Kollar</w:t>
      </w:r>
      <w:r>
        <w:rPr>
          <w:rFonts w:ascii="Calibri" w:cs="Calibri" w:eastAsia="Calibri" w:hAnsi="Calibri"/>
          <w:color w:val="4A5561"/>
          <w:sz w:val="20"/>
          <w:szCs w:val="20"/>
        </w:rPr>
        <w:t xml:space="preserve">	28</w:t>
      </w:r>
    </w:p>
    <w:p>
      <w:pPr>
        <w:tabs>
          <w:tab w:val="right" w:pos="10080" w:leader="dot"/>
        </w:tabs>
        <w:spacing w:after="90" w:line="300"/>
      </w:pPr>
      <w:r>
        <w:rPr>
          <w:rFonts w:ascii="Georgia" w:cs="Georgia" w:eastAsia="Georgia" w:hAnsi="Georgia"/>
          <w:b/>
          <w:bCs/>
          <w:color w:val="0F5F5C"/>
          <w:sz w:val="22"/>
          <w:szCs w:val="22"/>
        </w:rPr>
        <w:t xml:space="preserve">B</w:t>
      </w:r>
      <w:r>
        <w:rPr>
          <w:rFonts w:ascii="Georgia" w:cs="Georgia" w:eastAsia="Georgia" w:hAnsi="Georgia"/>
          <w:color w:val="1B2530"/>
          <w:sz w:val="22"/>
          <w:szCs w:val="22"/>
        </w:rPr>
        <w:t xml:space="preserve"> Sözlük</w:t>
      </w:r>
      <w:r>
        <w:rPr>
          <w:rFonts w:ascii="Calibri" w:cs="Calibri" w:eastAsia="Calibri" w:hAnsi="Calibri"/>
          <w:color w:val="4A5561"/>
          <w:sz w:val="20"/>
          <w:szCs w:val="20"/>
        </w:rPr>
        <w:t xml:space="preserve">	29</w:t>
      </w:r>
    </w:p>
    <w:p>
      <w:r>
        <w:br w:type="page"/>
      </w:r>
    </w:p>
    <w:p>
      <w:pPr>
        <w:pStyle w:val="Heading1"/>
      </w:pPr>
      <w:r>
        <w:rPr>
          <w:color w:val="0F5F5C"/>
        </w:rPr>
        <w:t xml:space="preserve">1 </w:t>
      </w:r>
      <w:r>
        <w:t xml:space="preserve">Yönetici özeti</w:t>
      </w:r>
    </w:p>
    <w:p>
      <w:pPr>
        <w:spacing w:after="140" w:line="300"/>
      </w:pPr>
      <w:r>
        <w:rPr>
          <w:b/>
          <w:bCs/>
          <w:i w:val="false"/>
          <w:iCs w:val="false"/>
        </w:rPr>
        <w:t xml:space="preserve">Ne olduğumuz.</w:t>
      </w:r>
      <w:r>
        <w:rPr>
          <w:i w:val="false"/>
          <w:iCs w:val="false"/>
        </w:rPr>
        <w:t xml:space="preserve"> Atmosphere, atıl kalmış ABD perakende alanını — ölü anchor kutusunu, zombi AVM kanadını — üyelik odaklı bir Fijital Pazar Yeri'ne dönüştürür: bir AVM'nin tek bir hat üzerinden kazandığı metrekarede yedi hat üzerinden kazanan, otel getiri disipliniyle yönetilen ve üç ölçekte (metre, üye, hane) RevPAM ile ölçülen bir üçüncü yer. A Level Alliances (Reno, NV) tarafından işletilir, 5th Wall Phygital Elements tarafından inşa edilir ve Qumbet'ten (Hong Kong, 2000) gelir: sekiz ülkede, çok on yıllık kamu imtiyazlarıyla işletilen 10.000'i aşkın sokak mobilyası ünitesi.</w:t>
      </w:r>
    </w:p>
    <w:p>
      <w:pPr>
        <w:spacing w:after="140" w:line="300"/>
      </w:pPr>
      <w:r>
        <w:rPr>
          <w:b/>
          <w:bCs/>
          <w:i w:val="false"/>
          <w:iCs w:val="false"/>
        </w:rPr>
        <w:t xml:space="preserve">Neden şimdi.</w:t>
      </w:r>
      <w:r>
        <w:rPr>
          <w:i w:val="false"/>
          <w:iCs w:val="false"/>
        </w:rPr>
        <w:t xml:space="preserve"> Tek bir kutuda iki uyumsuzluk buluşur. Talep tarafında 30,4 milyon çalışansız ABD işletmesi yılda 1,8 trilyon dolar üretiyor ama fiziksel bir tezgâhı yok; 100.000'i aşkın milyon dolarlık online satıcı gelirinin yaklaşık yarısını pazar yeri geçiş ücretine ödüyor ve üçüncü bir kapı yok. Arz tarafında B/C sınıfı AVM kutuları %70–80 zarar oranlarıyla silinirken genel perakende boşluğu rekor düşük seviyede — tam da bu yüzden tek bir sıkıntılı kutuyu günlük fiyatlanan 300 kiracı arasında bölmek, herhangi bir tek kiradan daha fazla kazandırır.</w:t>
      </w:r>
    </w:p>
    <w:p>
      <w:pPr>
        <w:spacing w:after="140" w:line="300"/>
      </w:pPr>
      <w:r>
        <w:rPr>
          <w:b/>
          <w:bCs/>
          <w:i w:val="false"/>
          <w:iCs w:val="false"/>
        </w:rPr>
        <w:t xml:space="preserve">Kim içeri giriyor.</w:t>
      </w:r>
      <w:r>
        <w:rPr>
          <w:i w:val="false"/>
          <w:iCs w:val="false"/>
        </w:rPr>
        <w:t xml:space="preserve"> Kapı açık kalır; üyelik hiçbir zaman giriş şartı değildir. Üyelik erişim değil, tanınırlık satar. Ölçülmüş altı figür — Üretici, Solo Profesyonel, Emekli Usta, Henüz Başlamamış, Bilinçli Alışverişçi, Yeniden Bağlanan — üç aile (Ziyaretçiler, Kullanıcılar, Ötesi) altında yedi kademeye yerleşir. 500.000 kişilik bir ticaret alanında yaklaşık 130.000 yetişkin zaten bir tür üyelik aidatı ödemektedir; bina onlardan yeni bir davranış öğrenmelerini değil, mevcut bir alışkanlığı yönlendirmelerini ister.</w:t>
      </w:r>
    </w:p>
    <w:p>
      <w:pPr>
        <w:spacing w:after="140" w:line="300"/>
      </w:pPr>
      <w:r>
        <w:rPr>
          <w:b/>
          <w:bCs/>
          <w:i w:val="false"/>
          <w:iCs w:val="false"/>
        </w:rPr>
        <w:t xml:space="preserve">Nasıl kazanıyoruz.</w:t>
      </w:r>
      <w:r>
        <w:rPr>
          <w:i w:val="false"/>
          <w:iCs w:val="false"/>
        </w:rPr>
        <w:t xml:space="preserve"> Açık Pazar ve Pazar Salonu, Enterprise Arcade, Sahne, Canlı Ticaret Merkezi, Arka Alan, Medya (PingPod ekran ağı) ve Üyelik. ALA'nın sahip olduğu dört sistem katı yönetir: OffNdOn rezerve eder ve güç verir, HuxNet eşleştirir, PingPod ekranları programlar, Fifth Signal fiyatlar ve ölçer.</w:t>
      </w:r>
    </w:p>
    <w:p>
      <w:pPr>
        <w:spacing w:after="140" w:line="300"/>
      </w:pPr>
      <w:r>
        <w:rPr>
          <w:b/>
          <w:bCs/>
          <w:i w:val="false"/>
          <w:iCs w:val="false"/>
        </w:rPr>
        <w:t xml:space="preserve">Pazarın çoktan bedelini ödediği emsal.</w:t>
      </w:r>
      <w:r>
        <w:rPr>
          <w:i w:val="false"/>
          <w:iCs w:val="false"/>
        </w:rPr>
        <w:t xml:space="preserve"> CBRE, Ocak 2025'te binası olmayan, mülk sahipleriyle gelir paylaşımı ortaklıkları yürüten bir operatör olan Industrious için ~800 milyon dolar ödedi. Atmosphere o operatörün perakende versiyonudur. Kural WeWork değil Industrious'tur: mülk sahibiyle yönetim ya da gelir paylaşımı anlaşması, işletme şirketinin altında asla uzun kira sözleşmesi yok.</w:t>
      </w:r>
    </w:p>
    <w:p>
      <w:pPr>
        <w:spacing w:after="140" w:line="300"/>
      </w:pPr>
      <w:r>
        <w:rPr>
          <w:b/>
          <w:bCs/>
          <w:i w:val="false"/>
          <w:iCs w:val="false"/>
        </w:rPr>
        <w:t xml:space="preserve">Talep.</w:t>
      </w:r>
      <w:r>
        <w:rPr>
          <w:i w:val="false"/>
          <w:iCs w:val="false"/>
        </w:rPr>
        <w:t xml:space="preserve"> Bir konsept kanıtı mekânı açmak ve on iki ay içinde ölçülmüş bir RevPAM rakamı üretmek için, doğrulanmış akredite yatırımcılara yönelik özel plasman olarak yapılandırılmış, iki tranşlı yaklaşık 8 milyon dolarlık bir Kuruluş Turu. İkinci tranş, birinci tranşın kilometre taşlarına bağlıdır.</w:t>
      </w:r>
    </w:p>
    <w:p>
      <w:pPr>
        <w:spacing w:after="140" w:line="300"/>
      </w:pPr>
      <w:r>
        <w:rPr>
          <w:b/>
          <w:bCs/>
          <w:i w:val="false"/>
          <w:iCs w:val="false"/>
        </w:rPr>
        <w:t xml:space="preserve">Turu farklı kılan.</w:t>
      </w:r>
      <w:r>
        <w:rPr>
          <w:i w:val="false"/>
          <w:iCs w:val="false"/>
        </w:rPr>
        <w:t xml:space="preserve"> Sermaye, sonradan ortak arayacak bir şirketi değil bir bedeni fonlar: on numaralı pozisyon artı bir Güven Müttefiki'nden oluşan, bir Hukuk Müttefiki'nin saatlik faturalama yerine Vekâlet Mandası — hisse, güvene dayalı sorumluluk, dar yönetişim ve emanet — altında kurduğu tek bir hukuki huniden sırayla kabul edilen İttifak İskeleti.</w:t>
      </w:r>
    </w:p>
    <w:p>
      <w:r>
        <w:br w:type="page"/>
      </w:r>
    </w:p>
    <w:p>
      <w:pPr>
        <w:pStyle w:val="Heading1"/>
      </w:pPr>
      <w:r>
        <w:rPr>
          <w:color w:val="0F5F5C"/>
        </w:rPr>
        <w:t xml:space="preserve">2 </w:t>
      </w:r>
      <w:r>
        <w:t xml:space="preserve">Fırsat — iki uyumsuzluk, tek kutu</w:t>
      </w:r>
    </w:p>
    <w:p>
      <w:pPr>
        <w:pStyle w:val="Heading2"/>
      </w:pPr>
      <w:r>
        <w:rPr>
          <w:i w:val="false"/>
          <w:iCs w:val="false"/>
        </w:rPr>
        <w:t xml:space="preserve">2.1 Talep: buzdağının altında para gerçek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3255"/>
        <w:gridCol w:w="3638"/>
        <w:gridCol w:w="1887"/>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Katman</w:t>
            </w:r>
          </w:p>
        </w:tc>
        <w:tc>
          <w:tcPr>
            <w:tcW w:type="dxa" w:w="325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Ölçüt</w:t>
            </w:r>
          </w:p>
        </w:tc>
        <w:tc>
          <w:tcPr>
            <w:tcW w:type="dxa" w:w="363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Değer</w:t>
            </w:r>
          </w:p>
        </w:tc>
        <w:tc>
          <w:tcPr>
            <w:tcW w:type="dxa" w:w="188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Kaynak</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Uç</w:t>
            </w:r>
          </w:p>
        </w:tc>
        <w:tc>
          <w:tcPr>
            <w:tcW w:type="dxa" w:w="325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Çalışanlı işletmeler (2023)</w:t>
            </w:r>
          </w:p>
        </w:tc>
        <w:tc>
          <w:tcPr>
            <w:tcW w:type="dxa" w:w="363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5,58M</w:t>
            </w:r>
          </w:p>
        </w:tc>
        <w:tc>
          <w:tcPr>
            <w:tcW w:type="dxa" w:w="18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Census BDS</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Kütle</w:t>
            </w:r>
          </w:p>
        </w:tc>
        <w:tc>
          <w:tcPr>
            <w:tcW w:type="dxa" w:w="325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Çalışansız işletmeler (2023)</w:t>
            </w:r>
          </w:p>
        </w:tc>
        <w:tc>
          <w:tcPr>
            <w:tcW w:type="dxa" w:w="363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30,4M · tüm işyerlerinin %78,4'ü</w:t>
            </w:r>
          </w:p>
        </w:tc>
        <w:tc>
          <w:tcPr>
            <w:tcW w:type="dxa" w:w="18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Census NES</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Kütle</w:t>
            </w:r>
          </w:p>
        </w:tc>
        <w:tc>
          <w:tcPr>
            <w:tcW w:type="dxa" w:w="325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Toplam gelir</w:t>
            </w:r>
          </w:p>
        </w:tc>
        <w:tc>
          <w:tcPr>
            <w:tcW w:type="dxa" w:w="363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1,8T $ · GSYH'nin %6,4'ü</w:t>
            </w:r>
          </w:p>
        </w:tc>
        <w:tc>
          <w:tcPr>
            <w:tcW w:type="dxa" w:w="18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Census NES</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Kuruluş</w:t>
            </w:r>
          </w:p>
        </w:tc>
        <w:tc>
          <w:tcPr>
            <w:tcW w:type="dxa" w:w="325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Yeni işletme başvuruları, 2025</w:t>
            </w:r>
          </w:p>
        </w:tc>
        <w:tc>
          <w:tcPr>
            <w:tcW w:type="dxa" w:w="363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5,7M — rekor; ayda ~470K'sı çalışanlı ölçeğe hiç ulaşmıyor</w:t>
            </w:r>
          </w:p>
        </w:tc>
        <w:tc>
          <w:tcPr>
            <w:tcW w:type="dxa" w:w="18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Census BFS</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Satıcılar</w:t>
            </w:r>
          </w:p>
        </w:tc>
        <w:tc>
          <w:tcPr>
            <w:tcW w:type="dxa" w:w="325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Yılda 1M+ $ kazanan Amazon ABD satıcıları</w:t>
            </w:r>
          </w:p>
        </w:tc>
        <w:tc>
          <w:tcPr>
            <w:tcW w:type="dxa" w:w="363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100.000+</w:t>
            </w:r>
          </w:p>
        </w:tc>
        <w:tc>
          <w:tcPr>
            <w:tcW w:type="dxa" w:w="18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SmartScout / Marketplace Pulse</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Satıcılar</w:t>
            </w:r>
          </w:p>
        </w:tc>
        <w:tc>
          <w:tcPr>
            <w:tcW w:type="dxa" w:w="325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Yeni Amazon satıcıları, 2025</w:t>
            </w:r>
          </w:p>
        </w:tc>
        <w:tc>
          <w:tcPr>
            <w:tcW w:type="dxa" w:w="363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165K, −%44 — on yılın en düşüğü</w:t>
            </w:r>
          </w:p>
        </w:tc>
        <w:tc>
          <w:tcPr>
            <w:tcW w:type="dxa" w:w="18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Marketplace Pulse</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Geçiş ücreti</w:t>
            </w:r>
          </w:p>
        </w:tc>
        <w:tc>
          <w:tcPr>
            <w:tcW w:type="dxa" w:w="325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Satıcı gelirinin pazar yeri komisyonlarına giden payı</w:t>
            </w:r>
          </w:p>
        </w:tc>
        <w:tc>
          <w:tcPr>
            <w:tcW w:type="dxa" w:w="363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~%50</w:t>
            </w:r>
          </w:p>
        </w:tc>
        <w:tc>
          <w:tcPr>
            <w:tcW w:type="dxa" w:w="188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Marketplace Pulse</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Markalar</w:t>
            </w:r>
          </w:p>
        </w:tc>
        <w:tc>
          <w:tcPr>
            <w:tcW w:type="dxa" w:w="325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"Evsiz marka" kanıtı</w:t>
            </w:r>
          </w:p>
        </w:tc>
        <w:tc>
          <w:tcPr>
            <w:tcW w:type="dxa" w:w="363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Anker %90 Amazon'a bağımlı; Zenni 50M çerçeve, mağazası yok; Bambu Lab ~1,5B $ gelir, ABD'de vitrini yok</w:t>
            </w:r>
          </w:p>
        </w:tc>
        <w:tc>
          <w:tcPr>
            <w:tcW w:type="dxa" w:w="188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 Ally Research v2</w:t>
            </w:r>
          </w:p>
        </w:tc>
      </w:tr>
    </w:tbl>
    <w:p>
      <w:pPr>
        <w:spacing w:after="120"/>
      </w:pPr>
    </w:p>
    <w:p>
      <w:pPr>
        <w:spacing w:after="140" w:line="300"/>
      </w:pPr>
      <w:r>
        <w:rPr>
          <w:i w:val="false"/>
          <w:iCs w:val="false"/>
        </w:rPr>
        <w:t xml:space="preserve">Mevcut her araç — SSBCI (10B $), SBA mikrokredileri, ev gıdası reformu, mentorluk ağları — girişimcinin cebini ya da kafasını hedefler. Hiçbiri ayaklarının altındaki zemini hedeflemez. Boşluk mekânsaldır.</w:t>
      </w:r>
    </w:p>
    <w:p>
      <w:pPr>
        <w:pStyle w:val="Heading2"/>
      </w:pPr>
      <w:r>
        <w:rPr>
          <w:i w:val="false"/>
          <w:iCs w:val="false"/>
        </w:rPr>
        <w:t xml:space="preserve">2.2 Arz: sıkıntı tam avlandığımız yerde yoğunlaşıyor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16"/>
        <w:gridCol w:w="5362"/>
        <w:gridCol w:w="1302"/>
      </w:tblGrid>
      <w:tr>
        <w:trPr>
          <w:cantSplit/>
          <w:tblHeader/>
        </w:trPr>
        <w:tc>
          <w:tcPr>
            <w:tcW w:type="dxa" w:w="341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Sinyal</w:t>
            </w:r>
          </w:p>
        </w:tc>
        <w:tc>
          <w:tcPr>
            <w:tcW w:type="dxa" w:w="536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Değer</w:t>
            </w:r>
          </w:p>
        </w:tc>
        <w:tc>
          <w:tcPr>
            <w:tcW w:type="dxa" w:w="130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Kaynak</w:t>
            </w:r>
          </w:p>
        </w:tc>
      </w:tr>
      <w:tr>
        <w:trPr>
          <w:cantSplit/>
          <w:tblHeader w:val="false"/>
        </w:trPr>
        <w:tc>
          <w:tcPr>
            <w:tcW w:type="dxa" w:w="341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2026'da kesin vadesi gelen CMBS kredileri</w:t>
            </w:r>
          </w:p>
        </w:tc>
        <w:tc>
          <w:tcPr>
            <w:tcW w:type="dxa" w:w="53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76,6B $; en büyük maruziyet ofis ve perakendede</w:t>
            </w:r>
          </w:p>
        </w:tc>
        <w:tc>
          <w:tcPr>
            <w:tcW w:type="dxa" w:w="13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Trepp</w:t>
            </w:r>
          </w:p>
        </w:tc>
      </w:tr>
      <w:tr>
        <w:trPr>
          <w:cantSplit/>
          <w:tblHeader w:val="false"/>
        </w:trPr>
        <w:tc>
          <w:tcPr>
            <w:tcW w:type="dxa" w:w="341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Perakende CMBS temerrüt oranı, Temmuz 2026</w:t>
            </w:r>
          </w:p>
        </w:tc>
        <w:tc>
          <w:tcPr>
            <w:tcW w:type="dxa" w:w="53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%6,96, bölgesel AVM'ler öncülüğünde</w:t>
            </w:r>
          </w:p>
        </w:tc>
        <w:tc>
          <w:tcPr>
            <w:tcW w:type="dxa" w:w="13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Trepp</w:t>
            </w:r>
          </w:p>
        </w:tc>
      </w:tr>
      <w:tr>
        <w:trPr>
          <w:cantSplit/>
          <w:tblHeader w:val="false"/>
        </w:trPr>
        <w:tc>
          <w:tcPr>
            <w:tcW w:type="dxa" w:w="341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Zarar oranı, Pecanland Mall (Mayıs 2026)</w:t>
            </w:r>
          </w:p>
        </w:tc>
        <w:tc>
          <w:tcPr>
            <w:tcW w:type="dxa" w:w="53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67,3M $ kredide %80,9</w:t>
            </w:r>
          </w:p>
        </w:tc>
        <w:tc>
          <w:tcPr>
            <w:tcW w:type="dxa" w:w="13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Trepp / CRE Daily</w:t>
            </w:r>
          </w:p>
        </w:tc>
      </w:tr>
      <w:tr>
        <w:trPr>
          <w:cantSplit/>
          <w:tblHeader w:val="false"/>
        </w:trPr>
        <w:tc>
          <w:tcPr>
            <w:tcW w:type="dxa" w:w="341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 sınıfı AVM'ler</w:t>
            </w:r>
          </w:p>
        </w:tc>
        <w:tc>
          <w:tcPr>
            <w:tcW w:type="dxa" w:w="53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~250 (tümünün %28'i), %89 dolu, trafik 2019'a göre −%9 — birincil hedef</w:t>
            </w:r>
          </w:p>
        </w:tc>
        <w:tc>
          <w:tcPr>
            <w:tcW w:type="dxa" w:w="13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Cushman &amp; Wakefield</w:t>
            </w:r>
          </w:p>
        </w:tc>
      </w:tr>
      <w:tr>
        <w:trPr>
          <w:cantSplit/>
          <w:tblHeader w:val="false"/>
        </w:trPr>
        <w:tc>
          <w:tcPr>
            <w:tcW w:type="dxa" w:w="341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Mağaza kapanışları</w:t>
            </w:r>
          </w:p>
        </w:tc>
        <w:tc>
          <w:tcPr>
            <w:tcW w:type="dxa" w:w="536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2025'te 8.270; 2026'da 30M+ sqft kapanıyor</w:t>
            </w:r>
          </w:p>
        </w:tc>
        <w:tc>
          <w:tcPr>
            <w:tcW w:type="dxa" w:w="130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Coresight</w:t>
            </w:r>
          </w:p>
        </w:tc>
      </w:tr>
      <w:tr>
        <w:trPr>
          <w:cantSplit/>
          <w:tblHeader w:val="false"/>
        </w:trPr>
        <w:tc>
          <w:tcPr>
            <w:tcW w:type="dxa" w:w="341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Genel perakende boşluğu</w:t>
            </w:r>
          </w:p>
        </w:tc>
        <w:tc>
          <w:tcPr>
            <w:tcW w:type="dxa" w:w="536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%4–5, rekor düşük; kiralamaya kadar medyan 7,5 ay; 5–10 yıllık süreler</w:t>
            </w:r>
          </w:p>
        </w:tc>
        <w:tc>
          <w:tcPr>
            <w:tcW w:type="dxa" w:w="130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CoStar</w:t>
            </w:r>
          </w:p>
        </w:tc>
      </w:tr>
    </w:tbl>
    <w:p>
      <w:pPr>
        <w:spacing w:after="120"/>
      </w:pPr>
    </w:p>
    <w:p>
      <w:pPr>
        <w:spacing w:after="140" w:line="300"/>
      </w:pPr>
      <w:r>
        <w:rPr>
          <w:i w:val="false"/>
          <w:iCs w:val="false"/>
        </w:rPr>
        <w:t xml:space="preserve">Dürüst gerilim tezi güçlendirir: kutu ölü ama alan pazarı sıkı. 100.000 sqft'lik bir kabuğu kimse kredi notlu bir kiracıya kiralayamaz; üç yüz üretici, marka ve içerik üreticisi onu gün gün doldurabilir.</w:t>
      </w:r>
    </w:p>
    <w:p>
      <w:pPr>
        <w:pStyle w:val="Heading2"/>
      </w:pPr>
      <w:r>
        <w:rPr>
          <w:i w:val="false"/>
          <w:iCs w:val="false"/>
        </w:rPr>
        <w:t xml:space="preserve">2.3 Fiyat çapası zaten var</w:t>
      </w:r>
    </w:p>
    <w:p>
      <w:pPr>
        <w:spacing w:after="140" w:line="300"/>
      </w:pPr>
      <w:r>
        <w:rPr>
          <w:i w:val="false"/>
          <w:iCs w:val="false"/>
        </w:rPr>
        <w:t xml:space="preserve">Costco'nun tadım katı (Club Demonstration Services, 550+ mağaza) markalardan satıcı işletimli demo masası için günlük 35 $, resmi demo için 150–250 $ ve Roadshow için gün karşılığı 714–2.143 $ alıyor. Advantage Solutions'ın deneyimsel geliri 2026 ikinci çeyreğinde yıllık %19 artışla 416M $'a ulaştı. Günlük tezgâh pazarı var; yalnızca yaklaşık 1M $ satışın altındaki herkese kapalı. Atmosphere'in günlük masası (girişimci için 60–200 $; CPG test markası için 150–250 $) o kapıyı açar.</w:t>
      </w:r>
    </w:p>
    <w:p>
      <w:r>
        <w:br w:type="page"/>
      </w:r>
    </w:p>
    <w:p>
      <w:pPr>
        <w:pStyle w:val="Heading1"/>
      </w:pPr>
      <w:r>
        <w:rPr>
          <w:color w:val="0F5F5C"/>
        </w:rPr>
        <w:t xml:space="preserve">3 </w:t>
      </w:r>
      <w:r>
        <w:t xml:space="preserve">Ürün — tek kat, yedi kazanç yolu</w:t>
      </w:r>
    </w:p>
    <w:p>
      <w:pPr>
        <w:pStyle w:val="Heading2"/>
      </w:pPr>
      <w:r>
        <w:rPr>
          <w:i w:val="false"/>
          <w:iCs w:val="false"/>
        </w:rPr>
        <w:t xml:space="preserve">3.1 Kat</w:t>
      </w:r>
    </w:p>
    <w:p>
      <w:pPr>
        <w:spacing w:after="140" w:line="300"/>
      </w:pPr>
      <w:r>
        <w:rPr>
          <w:i w:val="false"/>
          <w:iCs w:val="false"/>
        </w:rPr>
        <w:t xml:space="preserve">100.000 sqft'lik bir kutu (GLA), %40 kamusal alan yükümlülüğü, bir asma kat ve otopark yükümlülüğünün bir payı sonrasında yaklaşık 92.000 sqft programlanabilir alan verir. Tek kat 1.001 girişimci pozisyonu (300 masa, 30 vitrin, 100 dış stant, 12 stüdyo, 36 mikro oda, 51 masa, 25 tezgâh, 13 sahne slotu, 14 paketleme istasyonu, 420 görünür stok kafesi), 1.001 dijital ikiz dolabı ve 8 anchor marka artı 6 sokak yemeği işletmecisini beş kapı ardında taşır: Açık Pazar, Pazar Salonu, Enterprise Arcade, Sahne ve Canlı Ticaret Merkezi.</w:t>
      </w:r>
    </w:p>
    <w:p>
      <w:pPr>
        <w:pStyle w:val="Heading2"/>
      </w:pPr>
      <w:r>
        <w:rPr>
          <w:i w:val="false"/>
          <w:iCs w:val="false"/>
        </w:rPr>
        <w:t xml:space="preserve">3.2 Yedi hat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734"/>
        <w:gridCol w:w="1560"/>
        <w:gridCol w:w="6486"/>
        <w:gridCol w:w="1300"/>
      </w:tblGrid>
      <w:tr>
        <w:trPr>
          <w:cantSplit/>
          <w:tblHeader/>
        </w:trPr>
        <w:tc>
          <w:tcPr>
            <w:tcW w:type="dxa" w:w="73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t>
            </w:r>
          </w:p>
        </w:tc>
        <w:tc>
          <w:tcPr>
            <w:tcW w:type="dxa" w:w="15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Hat</w:t>
            </w:r>
          </w:p>
        </w:tc>
        <w:tc>
          <w:tcPr>
            <w:tcW w:type="dxa" w:w="648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Nedir</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Rol</w:t>
            </w:r>
          </w:p>
        </w:tc>
      </w:tr>
      <w:tr>
        <w:trPr>
          <w:cantSplit/>
          <w:tblHeader w:val="false"/>
        </w:trPr>
        <w:tc>
          <w:tcPr>
            <w:tcW w:type="dxa" w:w="73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01</w:t>
            </w:r>
          </w:p>
        </w:tc>
        <w:tc>
          <w:tcPr>
            <w:tcW w:type="dxa" w:w="15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Açık Pazar ve Pazar Salonu</w:t>
            </w:r>
          </w:p>
        </w:tc>
        <w:tc>
          <w:tcPr>
            <w:tcW w:type="dxa" w:w="64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 günlük masadan bir sezonluk vitrine; fizikselleşen markalar için küratörlü kiracılıklar</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Getiri · taban</w:t>
            </w:r>
          </w:p>
        </w:tc>
      </w:tr>
      <w:tr>
        <w:trPr>
          <w:cantSplit/>
          <w:tblHeader w:val="false"/>
        </w:trPr>
        <w:tc>
          <w:tcPr>
            <w:tcW w:type="dxa" w:w="73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02</w:t>
            </w:r>
          </w:p>
        </w:tc>
        <w:tc>
          <w:tcPr>
            <w:tcW w:type="dxa" w:w="15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Enterprise Arcade</w:t>
            </w:r>
          </w:p>
        </w:tc>
        <w:tc>
          <w:tcPr>
            <w:tcW w:type="dxa" w:w="64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Asma katta hizmetli çalışma alanı; sessizlik değil gürültü satar</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Yinelenen</w:t>
            </w:r>
          </w:p>
        </w:tc>
      </w:tr>
      <w:tr>
        <w:trPr>
          <w:cantSplit/>
          <w:tblHeader w:val="false"/>
        </w:trPr>
        <w:tc>
          <w:tcPr>
            <w:tcW w:type="dxa" w:w="73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03</w:t>
            </w:r>
          </w:p>
        </w:tc>
        <w:tc>
          <w:tcPr>
            <w:tcW w:type="dxa" w:w="15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Sahne</w:t>
            </w:r>
          </w:p>
        </w:tc>
        <w:tc>
          <w:tcPr>
            <w:tcW w:type="dxa" w:w="64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Canlı ticaret, etkinlik, yayın — dikkat motoru</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Etkinlik</w:t>
            </w:r>
          </w:p>
        </w:tc>
      </w:tr>
      <w:tr>
        <w:trPr>
          <w:cantSplit/>
          <w:tblHeader w:val="false"/>
        </w:trPr>
        <w:tc>
          <w:tcPr>
            <w:tcW w:type="dxa" w:w="73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04</w:t>
            </w:r>
          </w:p>
        </w:tc>
        <w:tc>
          <w:tcPr>
            <w:tcW w:type="dxa" w:w="15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Canlı Ticaret Merkezi</w:t>
            </w:r>
          </w:p>
        </w:tc>
        <w:tc>
          <w:tcPr>
            <w:tcW w:type="dxa" w:w="64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Fulfilment, kutusuz iade, anında ikinci satış</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Akış</w:t>
            </w:r>
          </w:p>
        </w:tc>
      </w:tr>
      <w:tr>
        <w:trPr>
          <w:cantSplit/>
          <w:tblHeader w:val="false"/>
        </w:trPr>
        <w:tc>
          <w:tcPr>
            <w:tcW w:type="dxa" w:w="73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05</w:t>
            </w:r>
          </w:p>
        </w:tc>
        <w:tc>
          <w:tcPr>
            <w:tcW w:type="dxa" w:w="15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Arka Alan</w:t>
            </w:r>
          </w:p>
        </w:tc>
        <w:tc>
          <w:tcPr>
            <w:tcW w:type="dxa" w:w="64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Alıcının görebildiği yerde depolanan stok — gelir olarak CAM</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Depolama</w:t>
            </w:r>
          </w:p>
        </w:tc>
      </w:tr>
      <w:tr>
        <w:trPr>
          <w:cantSplit/>
          <w:tblHeader w:val="false"/>
        </w:trPr>
        <w:tc>
          <w:tcPr>
            <w:tcW w:type="dxa" w:w="73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06</w:t>
            </w:r>
          </w:p>
        </w:tc>
        <w:tc>
          <w:tcPr>
            <w:tcW w:type="dxa" w:w="15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Medya · PingPod</w:t>
            </w:r>
          </w:p>
        </w:tc>
        <w:tc>
          <w:tcPr>
            <w:tcW w:type="dxa" w:w="64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Programatik raylarda listelenen, ölçülen bir medya ağı olarak ekran ağı</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Marj</w:t>
            </w:r>
          </w:p>
        </w:tc>
      </w:tr>
      <w:tr>
        <w:trPr>
          <w:cantSplit/>
          <w:tblHeader w:val="false"/>
        </w:trPr>
        <w:tc>
          <w:tcPr>
            <w:tcW w:type="dxa" w:w="73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07</w:t>
            </w:r>
          </w:p>
        </w:tc>
        <w:tc>
          <w:tcPr>
            <w:tcW w:type="dxa" w:w="15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Üyelik</w:t>
            </w:r>
          </w:p>
        </w:tc>
        <w:tc>
          <w:tcPr>
            <w:tcW w:type="dxa" w:w="64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Erişim değil tanınırlık; MemberCo'da tutulan yinelenen topluluk katmanı</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Varlık</w:t>
            </w:r>
          </w:p>
        </w:tc>
      </w:tr>
    </w:tbl>
    <w:p>
      <w:pPr>
        <w:spacing w:after="120"/>
      </w:pPr>
    </w:p>
    <w:p>
      <w:pPr>
        <w:pStyle w:val="Heading2"/>
      </w:pPr>
      <w:r>
        <w:rPr>
          <w:i w:val="false"/>
          <w:iCs w:val="false"/>
        </w:rPr>
        <w:t xml:space="preserve">3.3 Dört sistem, PoC kapsamında</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4517"/>
        <w:gridCol w:w="4263"/>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Sistem</w:t>
            </w:r>
          </w:p>
        </w:tc>
        <w:tc>
          <w:tcPr>
            <w:tcW w:type="dxa" w:w="451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Görev</w:t>
            </w:r>
          </w:p>
        </w:tc>
        <w:tc>
          <w:tcPr>
            <w:tcW w:type="dxa" w:w="426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PoC kapsamı</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OffNdOn™</w:t>
            </w:r>
          </w:p>
        </w:tc>
        <w:tc>
          <w:tcPr>
            <w:tcW w:type="dxa" w:w="451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Alanı ve gücü rezerve eder — bir üreticinin masası telefondan, satış temsilcisi olmadan</w:t>
            </w:r>
          </w:p>
        </w:tc>
        <w:tc>
          <w:tcPr>
            <w:tcW w:type="dxa" w:w="426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Açılışta canlı (egemen ray)</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HuxNet™</w:t>
            </w:r>
          </w:p>
        </w:tc>
        <w:tc>
          <w:tcPr>
            <w:tcW w:type="dxa" w:w="451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Rızaya dayalı, gizlilik öncelikli eşleştirme</w:t>
            </w:r>
          </w:p>
        </w:tc>
        <w:tc>
          <w:tcPr>
            <w:tcW w:type="dxa" w:w="426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Basit rıza tabanlı eşleştirme; sessiz iletim; yaş kapısı varsayılan kapalı</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PingPod™</w:t>
            </w:r>
          </w:p>
        </w:tc>
        <w:tc>
          <w:tcPr>
            <w:tcW w:type="dxa" w:w="451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Ekran saatlerini programlar ve satar</w:t>
            </w:r>
          </w:p>
        </w:tc>
        <w:tc>
          <w:tcPr>
            <w:tcW w:type="dxa" w:w="426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Açılışta canlı; SSP listelemesi açılıştan altı hafta sonra</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Fifth Signal™</w:t>
            </w:r>
          </w:p>
        </w:tc>
        <w:tc>
          <w:tcPr>
            <w:tcW w:type="dxa" w:w="451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Talep tahmini, dinamik fiyatlama, işleme kadar ölçüm</w:t>
            </w:r>
          </w:p>
        </w:tc>
        <w:tc>
          <w:tcPr>
            <w:tcW w:type="dxa" w:w="426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Açılışta canlı; sertifikasyon iki çeyrekte</w:t>
            </w:r>
          </w:p>
        </w:tc>
      </w:tr>
    </w:tbl>
    <w:p>
      <w:pPr>
        <w:spacing w:after="120"/>
      </w:pPr>
    </w:p>
    <w:p>
      <w:pPr>
        <w:spacing w:after="140" w:line="300"/>
      </w:pPr>
      <w:r>
        <w:rPr>
          <w:i w:val="false"/>
          <w:iCs w:val="false"/>
        </w:rPr>
        <w:t xml:space="preserve">Dijital ikizler, "mimari ışınlanma" ve kendini optimize eden bina ölçek fazının vitrinidir, bilinçli olarak PoC dışındadır. Amazon Style, sorun arayan aşırı mühendislikten öldü; PoC tek bir üreticinin gününün kapsamında çalışır.</w:t>
      </w:r>
    </w:p>
    <w:p>
      <w:pPr>
        <w:pStyle w:val="Heading2"/>
      </w:pPr>
      <w:r>
        <w:rPr>
          <w:i w:val="false"/>
          <w:iCs w:val="false"/>
        </w:rPr>
        <w:t xml:space="preserve">3.4 5th Wall Phygital Elements</w:t>
      </w:r>
    </w:p>
    <w:p>
      <w:pPr>
        <w:spacing w:after="140" w:line="300"/>
      </w:pPr>
      <w:r>
        <w:rPr>
          <w:i w:val="false"/>
          <w:iCs w:val="false"/>
        </w:rPr>
        <w:t xml:space="preserve">Üretilmiş katman: sokak mobilyasından mağaza mobilyasına ölçeklenen tak-çalıştır modüler sistem; bir kat kurulabilir, yeniden düzenlenebilir ve taşınabilir. Geleneksel bir fikstürün ~2 katı CapEx ile ~3,7 katı gelir modellenmiştir. PoC fikstürleri bir üretim müttefikinden gelir; ~50M $'lık fabrika satın alması (Plan C+C) yalnızca ikinci mekânın siparişiyle gerekçelendirilir.</w:t>
      </w:r>
    </w:p>
    <w:p>
      <w:r>
        <w:br w:type="page"/>
      </w:r>
    </w:p>
    <w:p>
      <w:pPr>
        <w:pStyle w:val="Heading1"/>
      </w:pPr>
      <w:r>
        <w:rPr>
          <w:color w:val="0F5F5C"/>
        </w:rPr>
        <w:t xml:space="preserve">4 </w:t>
      </w:r>
      <w:r>
        <w:t xml:space="preserve">Kullanıcılar, Ziyaretçiler ve Ötesi — üyelik mimarisi</w:t>
      </w:r>
    </w:p>
    <w:p>
      <w:pPr>
        <w:spacing w:after="140" w:line="300"/>
      </w:pPr>
      <w:r>
        <w:rPr>
          <w:i w:val="false"/>
          <w:iCs w:val="false"/>
        </w:rPr>
        <w:t xml:space="preserve">İttifak İskeleti Pozisyon 08 (Rev.01, Eylül 2026) kütükteki önceki "Owner &amp; Visitor Members" adının yerini alır. "Owner" pozisyonun vermediği bir pay ima ediyordu; "Ötesi" ise binaya içinde durmadan bağlı olanlara — örtük bilgi satın alan kurum, Sahne'den satan içerik üreticisi, belki hiç görünmeyecek dijital ikiz dolabı sahibi — bir yuva verir.</w:t>
      </w:r>
    </w:p>
    <w:p>
      <w:pPr>
        <w:pStyle w:val="Heading2"/>
      </w:pPr>
      <w:r>
        <w:rPr>
          <w:i w:val="false"/>
          <w:iCs w:val="false"/>
        </w:rPr>
        <w:t xml:space="preserve">4.1 Alınmış karar: kapı açık kalır</w:t>
      </w:r>
    </w:p>
    <w:p>
      <w:pPr>
        <w:spacing w:after="140" w:line="300"/>
      </w:pPr>
      <w:r>
        <w:rPr>
          <w:i w:val="false"/>
          <w:iCs w:val="false"/>
        </w:rPr>
        <w:t xml:space="preserve">Pazar yeri halka açıktır. Herkes girebilir, gezebilir, satın alabilir, deneyebilir, teslim alabilir ve iade edebilir. Bunu üç gerekçe taşıdı. 1.001 pozisyon ayak trafiğine erişim üzerinden satılır; kapıdaki bir ücret duvarı işletmecinin riskini tüccarın masasına aktarır. Costco benzetmesi burada geçerli değildir: Costco kapısını kapatabilir çünkü arkasındaki envanterin sahibidir; Atmosphere'in envanteri bin bağımsız insana aittir. Ve Trader Joe's tipi bir anchor turnike arkasında oturmaz.</w:t>
      </w:r>
    </w:p>
    <w:p>
      <w:pPr>
        <w:spacing w:after="140" w:line="300"/>
      </w:pPr>
      <w:r>
        <w:rPr>
          <w:i w:val="false"/>
          <w:iCs w:val="false"/>
        </w:rPr>
        <w:t xml:space="preserve">Yatırımcının tartması gereken bir modelleme sonucu da var. Ziyaretten üyeliğe dönüşüm ve elde tutma, kat P&amp;L'indeki en büyük iki duyarlılıktır. Giriş üyelik gerektirseydi dönüşüm tanım gereği %100 olur, duyarlılık kaybolur ve iş sessizce beş katmandan kazanan değil kapı satan bir işe dönüşürdü. Kapıyı açık tutmak modeli dürüst tutar.</w:t>
      </w:r>
    </w:p>
    <w:p>
      <w:pPr>
        <w:pStyle w:val="Heading2"/>
      </w:pPr>
      <w:r>
        <w:rPr>
          <w:i w:val="false"/>
          <w:iCs w:val="false"/>
        </w:rPr>
        <w:t xml:space="preserve">4.2 Kurucu ilke</w:t>
      </w:r>
    </w:p>
    <w:p>
      <w:pPr>
        <w:pBdr>
          <w:left w:val="single" w:color="0F5F5C" w:sz="24" w:space="10"/>
        </w:pBdr>
        <w:shd w:fill="EEF3F0" w:val="clear"/>
        <w:spacing w:after="200" w:before="120" w:line="300"/>
        <w:ind w:left="240"/>
      </w:pPr>
      <w:r>
        <w:rPr>
          <w:b/>
          <w:bCs/>
          <w:i w:val="false"/>
          <w:iCs w:val="false"/>
          <w:sz w:val="22"/>
          <w:szCs w:val="22"/>
        </w:rPr>
        <w:t xml:space="preserve">Üyelik erişim satmaz. Tanınırlık satar.</w:t>
      </w:r>
      <w:r>
        <w:rPr>
          <w:i w:val="false"/>
          <w:iCs w:val="false"/>
          <w:sz w:val="22"/>
          <w:szCs w:val="22"/>
        </w:rPr>
        <w:t xml:space="preserve"> Ziyaretçi binaya girer. Üye binada biridir: eşleştirme sisteminde adı vardır, bir sicille desteklenir, kefil olunmuştur. Herkes odada durabilir; üyelik kimin tanıştırılacağına, kimin öğretebileceğine ve kimin hesap vereceğine karar verir.</w:t>
      </w:r>
    </w:p>
    <w:p>
      <w:pPr>
        <w:pStyle w:val="Heading2"/>
      </w:pPr>
      <w:r>
        <w:rPr>
          <w:i w:val="false"/>
          <w:iCs w:val="false"/>
        </w:rPr>
        <w:t xml:space="preserve">4.3 Gerçekte kim içeri giriyor — ölçülmüş altı figür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5366"/>
        <w:gridCol w:w="2114"/>
        <w:gridCol w:w="1300"/>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Figür</w:t>
            </w:r>
          </w:p>
        </w:tc>
        <w:tc>
          <w:tcPr>
            <w:tcW w:type="dxa" w:w="536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Ölçülmüş nüfus</w:t>
            </w:r>
          </w:p>
        </w:tc>
        <w:tc>
          <w:tcPr>
            <w:tcW w:type="dxa" w:w="211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Onlar için eksik olan</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Yerleştiği kademe</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Üretici</w:t>
            </w:r>
          </w:p>
        </w:tc>
        <w:tc>
          <w:tcPr>
            <w:tcW w:type="dxa" w:w="53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5,6M aktif Etsy satıcısı, %97 ev tabanlı, %82 tek başına; ev gıdası üreticileri 2020'den bu yana ikiye katlanarak ~2B $'lık pazar</w:t>
            </w:r>
          </w:p>
        </w:tc>
        <w:tc>
          <w:tcPr>
            <w:tcW w:type="dxa" w:w="21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 vitrin — üretmesi yasal, kalıcı satacak yeri yok</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Tüccar (04)</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Solo Profesyonel</w:t>
            </w:r>
          </w:p>
        </w:tc>
        <w:tc>
          <w:tcPr>
            <w:tcW w:type="dxa" w:w="53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64–73M bağımsız çalışan, işgücünün %38–45'i, 1,27T $ serbest çalışma geliri; Z kuşağının %53'ü freelance</w:t>
            </w:r>
          </w:p>
        </w:tc>
        <w:tc>
          <w:tcPr>
            <w:tcW w:type="dxa" w:w="21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Ne mutfak masası ne sessiz hizmetli ofis olan bir oda</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 (02)</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Emekli Usta</w:t>
            </w:r>
          </w:p>
        </w:tc>
        <w:tc>
          <w:tcPr>
            <w:tcW w:type="dxa" w:w="53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Piyasa dışına çıkmış zanaatkâr ve profesyoneller; yetişkinlerin %67'si anlamlı bir gruba ait olmamaktan kaynaklanan yalnızlık bildiriyor</w:t>
            </w:r>
          </w:p>
        </w:tc>
        <w:tc>
          <w:tcPr>
            <w:tcW w:type="dxa" w:w="21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 rol ve kendini tanıtacak bir cümle</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(03)</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Henüz Başlamamış</w:t>
            </w:r>
          </w:p>
        </w:tc>
        <w:tc>
          <w:tcPr>
            <w:tcW w:type="dxa" w:w="53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Yeni mezunlarda %42 eksik istihdam (2026 Ç2); 18–29 yaş grubunun %51'i bir şey kurmak istiyor; ayda ~470.000 kişi başvuruyor ve çalışanlı ölçeğe ulaşamıyor</w:t>
            </w:r>
          </w:p>
        </w:tc>
        <w:tc>
          <w:tcPr>
            <w:tcW w:type="dxa" w:w="21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müşteri ve bunu daha önce yapmış biri</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(01) → Tüccar</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Bilinçli Alışverişçi</w:t>
            </w:r>
          </w:p>
        </w:tc>
        <w:tc>
          <w:tcPr>
            <w:tcW w:type="dxa" w:w="53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Doğrulanmış harita olarak 661 mağazalık Trader Joe's ayak izi; 81M Amerikalı fitness üyeliği tutuyor, %26,1 penetrasyon</w:t>
            </w:r>
          </w:p>
        </w:tc>
        <w:tc>
          <w:tcPr>
            <w:tcW w:type="dxa" w:w="21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Hiçbir şey — bu figür ayak trafiğinin kendisidir ve aidat ödemeye zaten alışkındır</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Misafir (00) → Master (01)</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Yeniden Bağlanan</w:t>
            </w:r>
          </w:p>
        </w:tc>
        <w:tc>
          <w:tcPr>
            <w:tcW w:type="dxa" w:w="53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Yalnız yaşayan, boşanmış ya da dul yetişkinler; gençler ~%21 ile en yüksek yalnızlık oranını taşıyor (WHO)</w:t>
            </w:r>
          </w:p>
        </w:tc>
        <w:tc>
          <w:tcPr>
            <w:tcW w:type="dxa" w:w="21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Evden çıkmak için alışveriş de bar da olmayan bir sebep</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(01)</w:t>
            </w:r>
          </w:p>
        </w:tc>
      </w:tr>
    </w:tbl>
    <w:p>
      <w:pPr>
        <w:spacing w:after="120"/>
      </w:pPr>
    </w:p>
    <w:p>
      <w:pPr>
        <w:spacing w:after="140" w:line="300"/>
      </w:pPr>
      <w:r>
        <w:rPr>
          <w:b/>
          <w:bCs/>
          <w:i w:val="false"/>
          <w:iCs w:val="false"/>
        </w:rPr>
        <w:t xml:space="preserve">Şube başına.</w:t>
      </w:r>
      <w:r>
        <w:rPr>
          <w:i w:val="false"/>
          <w:iCs w:val="false"/>
        </w:rPr>
        <w:t xml:space="preserve"> 500.000 kişilik bir ticaret alanında kanıt endeksi yaklaşık 45.000 çalışansız firma ve bir şey kurmayı ciddi ciddi düşünmüş yaklaşık 100.000 yetişkin türetir. Üyelik çalışması üçüncü bir sayı ekler: %26,1 ulusal penetrasyonla aynı alanda yaklaşık 130.000 yetişkin zaten bir tür üyelik aidatı ödemektedir, çoğunlukla spor salonu. Bu sayı niyeti değil alışkanlığı ölçer. Dürüst okuma: bunlar talep değil ulaşılabilir nüfuslardır ve Landlord Math'teki dönüşüm varsayımları bağlayıcı kısıt olmaya devam eder.</w:t>
      </w:r>
    </w:p>
    <w:p>
      <w:pPr>
        <w:pStyle w:val="Heading2"/>
      </w:pPr>
      <w:r>
        <w:rPr>
          <w:i w:val="false"/>
          <w:iCs w:val="false"/>
        </w:rPr>
        <w:t xml:space="preserve">4.4 Üç aile, yedi kademe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68"/>
        <w:gridCol w:w="1300"/>
        <w:gridCol w:w="1885"/>
        <w:gridCol w:w="1349"/>
        <w:gridCol w:w="3679"/>
        <w:gridCol w:w="1299"/>
      </w:tblGrid>
      <w:tr>
        <w:trPr>
          <w:cantSplit/>
          <w:tblHeader/>
        </w:trPr>
        <w:tc>
          <w:tcPr>
            <w:tcW w:type="dxa" w:w="56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Kademe</w:t>
            </w:r>
          </w:p>
        </w:tc>
        <w:tc>
          <w:tcPr>
            <w:tcW w:type="dxa" w:w="188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Kim</w:t>
            </w:r>
          </w:p>
        </w:tc>
        <w:tc>
          <w:tcPr>
            <w:tcW w:type="dxa" w:w="134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Öder</w:t>
            </w:r>
          </w:p>
        </w:tc>
        <w:tc>
          <w:tcPr>
            <w:tcW w:type="dxa" w:w="367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Alır</w:t>
            </w:r>
          </w:p>
        </w:tc>
        <w:tc>
          <w:tcPr>
            <w:tcW w:type="dxa" w:w="129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Kabul</w:t>
            </w:r>
          </w:p>
        </w:tc>
      </w:tr>
      <w:tr>
        <w:trPr>
          <w:cantSplit/>
          <w:tblHeader w:val="false"/>
        </w:trPr>
        <w:tc>
          <w:tcPr>
            <w:tcW w:type="dxa" w:w="10080"/>
            <w:gridSpan w:val="6"/>
            <w:tcBorders>
              <w:top w:val="single" w:color="D5DBD6" w:sz="4"/>
              <w:left w:val="none" w:color="FFFFFF" w:sz="0"/>
              <w:bottom w:val="single" w:color="D5DBD6" w:sz="4"/>
              <w:right w:val="none" w:color="FFFFFF" w:sz="0"/>
            </w:tcBorders>
            <w:shd w:fill="D6E7E4"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0F5F5C"/>
                <w:sz w:val="18"/>
                <w:szCs w:val="18"/>
              </w:rPr>
              <w:t xml:space="preserve">Ziyaretçiler — binada, henüz binadan değil</w:t>
            </w:r>
          </w:p>
        </w:tc>
      </w:tr>
      <w:tr>
        <w:trPr>
          <w:cantSplit/>
          <w:tblHeader w:val="false"/>
        </w:trPr>
        <w:tc>
          <w:tcPr>
            <w:tcW w:type="dxa" w:w="56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00</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Misafir</w:t>
            </w:r>
          </w:p>
        </w:tc>
        <w:tc>
          <w:tcPr>
            <w:tcW w:type="dxa" w:w="18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Kayıtlı ziyaretçi</w:t>
            </w:r>
          </w:p>
        </w:tc>
        <w:tc>
          <w:tcPr>
            <w:tcW w:type="dxa" w:w="13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Ücretsiz</w:t>
            </w:r>
          </w:p>
        </w:tc>
        <w:tc>
          <w:tcPr>
            <w:tcW w:type="dxa" w:w="367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Uygulama, dolap, teslim / alım / iade noktası, etkinlik takvimi, misafir Wi-Fi</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Yalnızca kayıt</w:t>
            </w:r>
          </w:p>
        </w:tc>
      </w:tr>
      <w:tr>
        <w:trPr>
          <w:cantSplit/>
          <w:tblHeader w:val="false"/>
        </w:trPr>
        <w:tc>
          <w:tcPr>
            <w:tcW w:type="dxa" w:w="10080"/>
            <w:gridSpan w:val="6"/>
            <w:tcBorders>
              <w:top w:val="single" w:color="D5DBD6" w:sz="4"/>
              <w:left w:val="none" w:color="FFFFFF" w:sz="0"/>
              <w:bottom w:val="single" w:color="D5DBD6" w:sz="4"/>
              <w:right w:val="none" w:color="FFFFFF" w:sz="0"/>
            </w:tcBorders>
            <w:shd w:fill="D6E7E4"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0F5F5C"/>
                <w:sz w:val="18"/>
                <w:szCs w:val="18"/>
              </w:rPr>
              <w:t xml:space="preserve">Kullanıcılar — bina onların kullanımına açık</w:t>
            </w:r>
          </w:p>
        </w:tc>
      </w:tr>
      <w:tr>
        <w:trPr>
          <w:cantSplit/>
          <w:tblHeader w:val="false"/>
        </w:trPr>
        <w:tc>
          <w:tcPr>
            <w:tcW w:type="dxa" w:w="56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01</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w:t>
            </w:r>
          </w:p>
        </w:tc>
        <w:tc>
          <w:tcPr>
            <w:tcW w:type="dxa" w:w="18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Herkese açık</w:t>
            </w:r>
          </w:p>
        </w:tc>
        <w:tc>
          <w:tcPr>
            <w:tcW w:type="dxa" w:w="13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Aylık</w:t>
            </w:r>
          </w:p>
        </w:tc>
        <w:tc>
          <w:tcPr>
            <w:tcW w:type="dxa" w:w="367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Sınırsız giriş, ev kahvesi/çayı/suyu, Wi-Fi, eşleştirmede görünürlük, misafir hakları, denetimli spor alanı, tadım programı</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Ret yok</w:t>
            </w:r>
          </w:p>
        </w:tc>
      </w:tr>
      <w:tr>
        <w:trPr>
          <w:cantSplit/>
          <w:tblHeader w:val="false"/>
        </w:trPr>
        <w:tc>
          <w:tcPr>
            <w:tcW w:type="dxa" w:w="56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02</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w:t>
            </w:r>
          </w:p>
        </w:tc>
        <w:tc>
          <w:tcPr>
            <w:tcW w:type="dxa" w:w="18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Çalışan üye</w:t>
            </w:r>
          </w:p>
        </w:tc>
        <w:tc>
          <w:tcPr>
            <w:tcW w:type="dxa" w:w="13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 hizmet bedeli</w:t>
            </w:r>
          </w:p>
        </w:tc>
        <w:tc>
          <w:tcPr>
            <w:tcW w:type="dxa" w:w="367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Hizmetli çalışma alanı, toplantı odaları, posta adresi, asma kat erişimi</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Ret yok; kapasite sınırlı</w:t>
            </w:r>
          </w:p>
        </w:tc>
      </w:tr>
      <w:tr>
        <w:trPr>
          <w:cantSplit/>
          <w:tblHeader w:val="false"/>
        </w:trPr>
        <w:tc>
          <w:tcPr>
            <w:tcW w:type="dxa" w:w="56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03</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w:t>
            </w:r>
          </w:p>
        </w:tc>
        <w:tc>
          <w:tcPr>
            <w:tcW w:type="dxa" w:w="18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Emekli usta zanaatkâr, esnaf, polimat; işe dönen ev hanımları</w:t>
            </w:r>
          </w:p>
        </w:tc>
        <w:tc>
          <w:tcPr>
            <w:tcW w:type="dxa" w:w="13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Master'ın %50'si — asla sıfır değil</w:t>
            </w:r>
          </w:p>
        </w:tc>
        <w:tc>
          <w:tcPr>
            <w:tcW w:type="dxa" w:w="367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hakları + oturum açma hakkı + kamuya açık sicil sayfası</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Elemeli: referans + görüşme</w:t>
            </w:r>
          </w:p>
        </w:tc>
      </w:tr>
      <w:tr>
        <w:trPr>
          <w:cantSplit/>
          <w:tblHeader w:val="false"/>
        </w:trPr>
        <w:tc>
          <w:tcPr>
            <w:tcW w:type="dxa" w:w="56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04</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Tüccar</w:t>
            </w:r>
          </w:p>
        </w:tc>
        <w:tc>
          <w:tcPr>
            <w:tcW w:type="dxa" w:w="18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1.001 pozisyondan birinin sahibi</w:t>
            </w:r>
          </w:p>
        </w:tc>
        <w:tc>
          <w:tcPr>
            <w:tcW w:type="dxa" w:w="13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Pozisyon bedeline dahil</w:t>
            </w:r>
          </w:p>
        </w:tc>
        <w:tc>
          <w:tcPr>
            <w:tcW w:type="dxa" w:w="367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hakları + Emeritus'a öncelikli erişim + Sahne uygunluğu</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Pozisyon kriterleri</w:t>
            </w:r>
          </w:p>
        </w:tc>
      </w:tr>
      <w:tr>
        <w:trPr>
          <w:cantSplit/>
          <w:tblHeader w:val="false"/>
        </w:trPr>
        <w:tc>
          <w:tcPr>
            <w:tcW w:type="dxa" w:w="10080"/>
            <w:gridSpan w:val="6"/>
            <w:tcBorders>
              <w:top w:val="single" w:color="D5DBD6" w:sz="4"/>
              <w:left w:val="none" w:color="FFFFFF" w:sz="0"/>
              <w:bottom w:val="single" w:color="D5DBD6" w:sz="4"/>
              <w:right w:val="none" w:color="FFFFFF" w:sz="0"/>
            </w:tcBorders>
            <w:shd w:fill="D6E7E4"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0F5F5C"/>
                <w:sz w:val="18"/>
                <w:szCs w:val="18"/>
              </w:rPr>
              <w:t xml:space="preserve">Ötesi — odada durmadan bağlı</w:t>
            </w:r>
          </w:p>
        </w:tc>
      </w:tr>
      <w:tr>
        <w:trPr>
          <w:cantSplit/>
          <w:tblHeader w:val="false"/>
        </w:trPr>
        <w:tc>
          <w:tcPr>
            <w:tcW w:type="dxa" w:w="56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05</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Kurumsal</w:t>
            </w:r>
          </w:p>
        </w:tc>
        <w:tc>
          <w:tcPr>
            <w:tcW w:type="dxa" w:w="18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Anchor'lar, markalar, kurumlar</w:t>
            </w:r>
          </w:p>
        </w:tc>
        <w:tc>
          <w:tcPr>
            <w:tcW w:type="dxa" w:w="13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Yıllık, koltuk başına</w:t>
            </w:r>
          </w:p>
        </w:tc>
        <w:tc>
          <w:tcPr>
            <w:tcW w:type="dxa" w:w="367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Tahsisli Arcade koltukları + genç personel için Emeritus oturumları + demo ve tadım programı</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Sözleşmeyle</w:t>
            </w:r>
          </w:p>
        </w:tc>
      </w:tr>
      <w:tr>
        <w:trPr>
          <w:cantSplit/>
          <w:tblHeader w:val="false"/>
        </w:trPr>
        <w:tc>
          <w:tcPr>
            <w:tcW w:type="dxa" w:w="56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06</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Sahne Erişimi</w:t>
            </w:r>
          </w:p>
        </w:tc>
        <w:tc>
          <w:tcPr>
            <w:tcW w:type="dxa" w:w="18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İçerik üreticileri ve canlı satıcılar</w:t>
            </w:r>
          </w:p>
        </w:tc>
        <w:tc>
          <w:tcPr>
            <w:tcW w:type="dxa" w:w="134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Tam fiyat Master + satış komisyonu</w:t>
            </w:r>
          </w:p>
        </w:tc>
        <w:tc>
          <w:tcPr>
            <w:tcW w:type="dxa" w:w="367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Dönüşüme göre tahsis edilen stüdyo ve sahne slotları</w:t>
            </w:r>
          </w:p>
        </w:tc>
        <w:tc>
          <w:tcPr>
            <w:tcW w:type="dxa" w:w="12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Ayrı başvuru</w:t>
            </w:r>
          </w:p>
        </w:tc>
      </w:tr>
      <w:tr>
        <w:trPr>
          <w:cantSplit/>
          <w:tblHeader w:val="false"/>
        </w:trPr>
        <w:tc>
          <w:tcPr>
            <w:tcW w:type="dxa" w:w="56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07</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Dijital İkiz</w:t>
            </w:r>
          </w:p>
        </w:tc>
        <w:tc>
          <w:tcPr>
            <w:tcW w:type="dxa" w:w="18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1.001 ikiz dolabından birinin sahibi</w:t>
            </w:r>
          </w:p>
        </w:tc>
        <w:tc>
          <w:tcPr>
            <w:tcW w:type="dxa" w:w="134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İkiz bedeline dahil</w:t>
            </w:r>
          </w:p>
        </w:tc>
        <w:tc>
          <w:tcPr>
            <w:tcW w:type="dxa" w:w="367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Rehber listesi, eşleştirme hakları, lojistik</w:t>
            </w:r>
          </w:p>
        </w:tc>
        <w:tc>
          <w:tcPr>
            <w:tcW w:type="dxa" w:w="12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İkiz kriterleri</w:t>
            </w:r>
          </w:p>
        </w:tc>
      </w:tr>
    </w:tbl>
    <w:p>
      <w:pPr>
        <w:spacing w:after="120"/>
      </w:pPr>
    </w:p>
    <w:p>
      <w:pPr>
        <w:spacing w:after="140" w:line="300"/>
      </w:pPr>
      <w:r>
        <w:rPr>
          <w:i w:val="false"/>
          <w:iCs w:val="false"/>
        </w:rPr>
        <w:t xml:space="preserve">Dışlama tam olarak tek bir yerde olur: öğretme hakkı. Master açık kalmalıdır — eşitleme gereği de pazar yerinin ayak trafiği ihtiyacı da bunu ister. Oturum açma hakkı ise seçilmelidir; aksi halde kalite kontrolü çöker ve bilgi aktarım mekânında bir daha geri gelmez.</w:t>
      </w:r>
    </w:p>
    <w:p>
      <w:pPr>
        <w:pStyle w:val="Heading2"/>
      </w:pPr>
      <w:r>
        <w:rPr>
          <w:i w:val="false"/>
          <w:iCs w:val="false"/>
        </w:rPr>
        <w:t xml:space="preserve">4.5 Misafir → Master: dönüşüm motoru</w:t>
      </w:r>
    </w:p>
    <w:p>
      <w:pPr>
        <w:spacing w:after="140" w:line="300"/>
      </w:pPr>
      <w:r>
        <w:rPr>
          <w:i w:val="false"/>
          <w:iCs w:val="false"/>
        </w:rPr>
        <w:t xml:space="preserve">Misafir ücretsizdir ama kayıtlıdır; anonim ziyaretçi dönüştürülemez. Kayıt talep edilmez, satın alınır: dolap, teslim/iade noktası ve dijital ikiz alım hizmeti, alışverişçinin adını vermesini sağlayan araçlardır. Önerilen mekanizma, ziyaretçinin görünür bir sicil biriktirdiği — yapılan ziyaretler, katılınan oturumlar, tanışılan insanlar — doksan günlük bir aktivasyon penceresidir; üyelik sonra o sicil karşılığında teklif edilir. Davet, kişinin yapabileceklerinin faturası değil, çoktan yaptıklarının tanınması olarak okunur.</w:t>
      </w:r>
    </w:p>
    <w:p>
      <w:pPr>
        <w:spacing w:after="140" w:line="300"/>
      </w:pPr>
      <w:r>
        <w:rPr>
          <w:i w:val="false"/>
          <w:iCs w:val="false"/>
        </w:rPr>
        <w:t xml:space="preserve">Belirleyici kıyas, ücret artışına rağmen sürdürülen Costco'nun %92,3 yenileme oranıdır. Executive üye yılda 130 $ öder ve 36 ziyarette 4.629 $ harcar; ücret ilk bir-iki ziyarette geri kazanılır. Atmosphere için işleyen kural geri ödeme kuralıdır: üye, ücretin ilk 30–45 gün içinde geri döndüğünü hissetmelidir.</w:t>
      </w:r>
    </w:p>
    <w:p>
      <w:pPr>
        <w:pStyle w:val="Heading2"/>
      </w:pPr>
      <w:r>
        <w:rPr>
          <w:i w:val="false"/>
          <w:iCs w:val="false"/>
        </w:rPr>
        <w:t xml:space="preserve">4.6 Emeritus, Tüccar, Kurumsal, içerik üreticileri</w:t>
      </w:r>
    </w:p>
    <w:p>
      <w:pPr>
        <w:spacing w:after="140" w:line="300"/>
      </w:pPr>
      <w:r>
        <w:rPr>
          <w:b/>
          <w:bCs/>
          <w:i w:val="false"/>
          <w:iCs w:val="false"/>
        </w:rPr>
        <w:t xml:space="preserve">Emeritus Master'ın yarısını öder, asla sıfır değil.</w:t>
      </w:r>
      <w:r>
        <w:rPr>
          <w:i w:val="false"/>
          <w:iCs w:val="false"/>
        </w:rPr>
        <w:t xml:space="preserve"> Ücretsiz üye misafirdir; ödeyen üye ev sahibidir ve ev sahipliği tam da emekli ustanın aradığı konumdur. İndirim Tüccar ve Kurumsal havuzlarından karşılanır. Devlet desteği modelden çıkarılmıştır: projenin kendi kanıt endeksi her kamu aracının girişimcinin cebini ya da kafasını hedeflediğini, hiçbirinin ayaklarının altındaki zemini hedeflemediğini gösterir; gerçekleşen herhangi bir hibe artıdır. Eşleştirme uygulama üzerinden sessizce çalışır; ekran programı gösterir, ilgi sayısını asla — bir boş oturum bir üyeliği bitirir.</w:t>
      </w:r>
    </w:p>
    <w:p>
      <w:pPr>
        <w:spacing w:after="140" w:line="300"/>
      </w:pPr>
      <w:r>
        <w:rPr>
          <w:b/>
          <w:bCs/>
          <w:i w:val="false"/>
          <w:iCs w:val="false"/>
        </w:rPr>
        <w:t xml:space="preserve">Tüccar üyeliği pozisyonla birlikte gelir.</w:t>
      </w:r>
      <w:r>
        <w:rPr>
          <w:i w:val="false"/>
          <w:iCs w:val="false"/>
        </w:rPr>
        <w:t xml:space="preserve"> 1.001 pozisyondan ya da 1.001 ikiz dolabından birini tutan herkes üyedir; yaklaşık iki bin üyelik ayrı bir satış olmadan doğar. Tüccar üyeliği bir gelir hattı değil kimlik aracıdır — depo kulübü düzeyinde aidatla iki bin üye, hat 01'in ~9,2M $'lık gösterge rakamı karşısında yılda birkaç yüz bin dolardır. Dijital ikiz üyeliği ancak dolaba rehber görünürlüğü ve eşleştirme hakları eklendiğinde ürün olur.</w:t>
      </w:r>
    </w:p>
    <w:p>
      <w:pPr>
        <w:spacing w:after="140" w:line="300"/>
      </w:pPr>
      <w:r>
        <w:rPr>
          <w:b/>
          <w:bCs/>
          <w:i w:val="false"/>
          <w:iCs w:val="false"/>
        </w:rPr>
        <w:t xml:space="preserve">Kurumsal, örtük bilginin bedelini öder.</w:t>
      </w:r>
      <w:r>
        <w:rPr>
          <w:i w:val="false"/>
          <w:iCs w:val="false"/>
        </w:rPr>
        <w:t xml:space="preserve"> Çıraklık incelmiştir ve maliyeti firmalar taşır; emekli bir elektrikçinin bildiği şey YouTube'da da bir modelde de yoktur. Kurumsal üyelik, tahsisli Arcade koltukları artı genç personel için Emeritus oturumları satın alır. Talep kanıtlıdır: kurumlar demo pazarında günlük 35–600 $ ile fiziksel varlığı zaten gün gün satın alıyor; demo dönüşümü dijital reklamın %2–3'üne karşı %15–35 olarak anılıyor.</w:t>
      </w:r>
    </w:p>
    <w:p>
      <w:pPr>
        <w:spacing w:after="140" w:line="300"/>
      </w:pPr>
      <w:r>
        <w:rPr>
          <w:b/>
          <w:bCs/>
          <w:i w:val="false"/>
          <w:iCs w:val="false"/>
        </w:rPr>
        <w:t xml:space="preserve">İçerik üreticileri bir kademe değil ticari bir roldür.</w:t>
      </w:r>
      <w:r>
        <w:rPr>
          <w:i w:val="false"/>
          <w:iCs w:val="false"/>
        </w:rPr>
        <w:t xml:space="preserve"> İndirimli üretici kademesi yok: içerik üreticisi önce tam fiyattan Master olur, sonra ücret yerine satılanlar üzerinden komisyonla ödenen Sahne Erişimi'ne başvurur. Slot tahsisi takipçi sayısının değil, Fifth Signal ile ölçülen dönüşümün fonksiyonudur — takipçi satın alınabilir; kasa alınamaz. ABD'de canlı satış GMV'nin ~%14'ü, Çin'de %70–80: tavan değil, dolmamış alan.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990"/>
        <w:gridCol w:w="1300"/>
        <w:gridCol w:w="5790"/>
      </w:tblGrid>
      <w:tr>
        <w:trPr>
          <w:cantSplit/>
          <w:tblHeader/>
        </w:trPr>
        <w:tc>
          <w:tcPr>
            <w:tcW w:type="dxa" w:w="299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Bölge</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Kamera</w:t>
            </w:r>
          </w:p>
        </w:tc>
        <w:tc>
          <w:tcPr>
            <w:tcW w:type="dxa" w:w="579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Kural</w:t>
            </w:r>
          </w:p>
        </w:tc>
      </w:tr>
      <w:tr>
        <w:trPr>
          <w:cantSplit/>
          <w:tblHeader w:val="false"/>
        </w:trPr>
        <w:tc>
          <w:tcPr>
            <w:tcW w:type="dxa" w:w="2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Sahne, stüdyolar, pazar katı, açık pazar, otopark programı</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Serbest, teşvik edilir</w:t>
            </w:r>
          </w:p>
        </w:tc>
        <w:tc>
          <w:tcPr>
            <w:tcW w:type="dxa" w:w="57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Girişte ilan edilir: bu alanda çekim yapılır. Canlı ticaretin kazandığı yer burasıdır.</w:t>
            </w:r>
          </w:p>
        </w:tc>
      </w:tr>
      <w:tr>
        <w:trPr>
          <w:cantSplit/>
          <w:tblHeader w:val="false"/>
        </w:trPr>
        <w:tc>
          <w:tcPr>
            <w:tcW w:type="dxa" w:w="2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Lounge, Arcade, asma kat, Emeritus oturumları</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İstisnasız yasak</w:t>
            </w:r>
          </w:p>
        </w:tc>
        <w:tc>
          <w:tcPr>
            <w:tcW w:type="dxa" w:w="57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Diğer üyelerin çekimi, yayını ya da fotoğrafı yok. Personel tarafından uygulanır; mekâna bağlıdır, asla kişiye değil.</w:t>
            </w:r>
          </w:p>
        </w:tc>
      </w:tr>
    </w:tbl>
    <w:p>
      <w:pPr>
        <w:spacing w:after="120"/>
      </w:pPr>
    </w:p>
    <w:p>
      <w:pPr>
        <w:pStyle w:val="Heading2"/>
      </w:pPr>
      <w:r>
        <w:rPr>
          <w:i w:val="false"/>
          <w:iCs w:val="false"/>
        </w:rPr>
        <w:t xml:space="preserve">4.7 Fiyatlama çerçevesi </w:t>
      </w:r>
      <w:r>
        <w:rPr>
          <w:b/>
          <w:bCs/>
          <w:i w:val="false"/>
          <w:iCs w:val="false"/>
          <w:color w:val="8A5A12"/>
          <w:shd w:fill="F6ECD7" w:val="clear"/>
        </w:rPr>
        <w:t xml:space="preserve">[Konsey karar verir]</w:t>
      </w:r>
    </w:p>
    <w:p>
      <w:pPr>
        <w:spacing w:after="140" w:line="300"/>
      </w:pPr>
      <w:r>
        <w:rPr>
          <w:i w:val="false"/>
          <w:iCs w:val="false"/>
        </w:rPr>
        <w:t xml:space="preserve">Master aylık fiyatı belirlenmemiştir ve bu pozisyondaki diğer her sayı ondan türer. Bantlar, ABD tüketicisinin zaten "üyelik" olarak dosyaladığı fiyatlara çapalanmıştır.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00"/>
        <w:gridCol w:w="1428"/>
        <w:gridCol w:w="1833"/>
        <w:gridCol w:w="5719"/>
      </w:tblGrid>
      <w:tr>
        <w:trPr>
          <w:cantSplit/>
          <w:tblHeader/>
        </w:trPr>
        <w:tc>
          <w:tcPr>
            <w:tcW w:type="dxa" w:w="11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Kademe</w:t>
            </w:r>
          </w:p>
        </w:tc>
        <w:tc>
          <w:tcPr>
            <w:tcW w:type="dxa" w:w="142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Gösterge bant</w:t>
            </w:r>
          </w:p>
        </w:tc>
        <w:tc>
          <w:tcPr>
            <w:tcW w:type="dxa" w:w="183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Çapa</w:t>
            </w:r>
          </w:p>
        </w:tc>
        <w:tc>
          <w:tcPr>
            <w:tcW w:type="dxa" w:w="571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Gerekçe</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w:t>
            </w:r>
          </w:p>
        </w:tc>
        <w:tc>
          <w:tcPr>
            <w:tcW w:type="dxa" w:w="142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Aylık 15–25 $</w:t>
            </w:r>
          </w:p>
        </w:tc>
        <w:tc>
          <w:tcPr>
            <w:tcW w:type="dxa" w:w="183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Costco Executive yıllık 130 $; Amazon Prime yıllık 139 $</w:t>
            </w:r>
          </w:p>
        </w:tc>
        <w:tc>
          <w:tcPr>
            <w:tcW w:type="dxa" w:w="571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Kâr merkezi değil trafik aracı; getiriyi değil dönüşümü maksimize edecek şekilde fiyatlanır</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w:t>
            </w:r>
          </w:p>
        </w:tc>
        <w:tc>
          <w:tcPr>
            <w:tcW w:type="dxa" w:w="142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Aylık 110–150 $, Master dahil</w:t>
            </w:r>
          </w:p>
        </w:tc>
        <w:tc>
          <w:tcPr>
            <w:tcW w:type="dxa" w:w="183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Ulusal coworking medyanı aylık 225 $ — Industrious değil</w:t>
            </w:r>
          </w:p>
        </w:tc>
        <w:tc>
          <w:tcPr>
            <w:tcW w:type="dxa" w:w="571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Industrious sessizlik satar; Atmosphere gürültü satar. Pazar medyanının yarısı savunulabilir; belirli bir rakibin fiyatının yarısı değil. Koltuk medyan koltukta olmayan eşleştirme ve programlama taşıdığından sonuç taban olarak ele alınır</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w:t>
            </w:r>
          </w:p>
        </w:tc>
        <w:tc>
          <w:tcPr>
            <w:tcW w:type="dxa" w:w="142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Master'ın %50'si</w:t>
            </w:r>
          </w:p>
        </w:tc>
        <w:tc>
          <w:tcPr>
            <w:tcW w:type="dxa" w:w="183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İç</w:t>
            </w:r>
          </w:p>
        </w:tc>
        <w:tc>
          <w:tcPr>
            <w:tcW w:type="dxa" w:w="571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Tüccar ve Kurumsal tarafından finanse edilir; asla sıfır değil</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Tüccar</w:t>
            </w:r>
          </w:p>
        </w:tc>
        <w:tc>
          <w:tcPr>
            <w:tcW w:type="dxa" w:w="142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Pozisyon bedeline dahil</w:t>
            </w:r>
          </w:p>
        </w:tc>
        <w:tc>
          <w:tcPr>
            <w:tcW w:type="dxa" w:w="183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Depo kulübü düzeyi, itibari</w:t>
            </w:r>
          </w:p>
        </w:tc>
        <w:tc>
          <w:tcPr>
            <w:tcW w:type="dxa" w:w="571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Kütük kaydı, gelir hattı değil</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Kurumsal</w:t>
            </w:r>
          </w:p>
        </w:tc>
        <w:tc>
          <w:tcPr>
            <w:tcW w:type="dxa" w:w="142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Yıllık, koltuk başına</w:t>
            </w:r>
          </w:p>
        </w:tc>
        <w:tc>
          <w:tcPr>
            <w:tcW w:type="dxa" w:w="183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Demo pazarı günlük 35–600 $</w:t>
            </w:r>
          </w:p>
        </w:tc>
        <w:tc>
          <w:tcPr>
            <w:tcW w:type="dxa" w:w="571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Erişim yerine ödeme isteği üzerinden fiyatlanan tek kademe</w:t>
            </w:r>
          </w:p>
        </w:tc>
      </w:tr>
    </w:tbl>
    <w:p>
      <w:pPr>
        <w:spacing w:after="120"/>
      </w:pPr>
    </w:p>
    <w:p>
      <w:pPr>
        <w:pStyle w:val="Heading2"/>
      </w:pPr>
      <w:r>
        <w:rPr>
          <w:i w:val="false"/>
          <w:iCs w:val="false"/>
        </w:rPr>
        <w:t xml:space="preserve">4.8 Dört kırmızı çizgi</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50"/>
        <w:gridCol w:w="8730"/>
      </w:tblGrid>
      <w:tr>
        <w:trPr>
          <w:cantSplit/>
          <w:tblHeader/>
        </w:trPr>
        <w:tc>
          <w:tcPr>
            <w:tcW w:type="dxa" w:w="135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Çizgi</w:t>
            </w:r>
          </w:p>
        </w:tc>
        <w:tc>
          <w:tcPr>
            <w:tcW w:type="dxa" w:w="873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Kural</w:t>
            </w:r>
          </w:p>
        </w:tc>
      </w:tr>
      <w:tr>
        <w:trPr>
          <w:cantSplit/>
          <w:tblHeader w:val="false"/>
        </w:trPr>
        <w:tc>
          <w:tcPr>
            <w:tcW w:type="dxa" w:w="135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Danışmanlık sorumluluğu</w:t>
            </w:r>
          </w:p>
        </w:tc>
        <w:tc>
          <w:tcPr>
            <w:tcW w:type="dxa" w:w="873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 Emeritus üyesinin verdiği rehberlik kişisel görüştür, Atmosphere'in sunduğu bir hizmet değildir. Yapısal, elektrik, gaz, vergi ve tıbbi konular lisanslı bir profesyonele yazılı yönlendirme gerektirir. Üyelik şartları bunu taşımalıdır; varoluşsaldır.</w:t>
            </w:r>
          </w:p>
        </w:tc>
      </w:tr>
      <w:tr>
        <w:trPr>
          <w:cantSplit/>
          <w:tblHeader w:val="false"/>
        </w:trPr>
        <w:tc>
          <w:tcPr>
            <w:tcW w:type="dxa" w:w="135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Kamera bölgelemesi</w:t>
            </w:r>
          </w:p>
        </w:tc>
        <w:tc>
          <w:tcPr>
            <w:tcW w:type="dxa" w:w="873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4.6'daki gibi — mekâna bağlı, asla kişiye değil.</w:t>
            </w:r>
          </w:p>
        </w:tc>
      </w:tr>
      <w:tr>
        <w:trPr>
          <w:cantSplit/>
          <w:tblHeader w:val="false"/>
        </w:trPr>
        <w:tc>
          <w:tcPr>
            <w:tcW w:type="dxa" w:w="135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Sessiz eşleştirme</w:t>
            </w:r>
          </w:p>
        </w:tc>
        <w:tc>
          <w:tcPr>
            <w:tcW w:type="dxa" w:w="873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Hiçbir kademede ilgi sayısı, katılım ya da popülerlik kamuya gösterilmez.</w:t>
            </w:r>
          </w:p>
        </w:tc>
      </w:tr>
      <w:tr>
        <w:trPr>
          <w:cantSplit/>
          <w:tblHeader w:val="false"/>
        </w:trPr>
        <w:tc>
          <w:tcPr>
            <w:tcW w:type="dxa" w:w="135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İptal değil, dondurma</w:t>
            </w:r>
          </w:p>
        </w:tc>
        <w:tc>
          <w:tcPr>
            <w:tcW w:type="dxa" w:w="873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Her kademe sıfır ya da sembolik maliyetle dondurma sunar. Z kuşağının yaklaşık %40'ı iptal edip altı ay içinde yeniden abone olur; dondurma kaybı kesintiye çevirir.</w:t>
            </w:r>
          </w:p>
        </w:tc>
      </w:tr>
    </w:tbl>
    <w:p>
      <w:pPr>
        <w:spacing w:after="120"/>
      </w:pPr>
    </w:p>
    <w:p>
      <w:pPr>
        <w:spacing w:after="140" w:line="300"/>
      </w:pPr>
      <w:r>
        <w:rPr>
          <w:i w:val="false"/>
          <w:iCs w:val="false"/>
        </w:rPr>
        <w:t xml:space="preserve">Bir ek uyarı: lounge katındaki denetimsiz spor ekipmanı bir olanaktan önce sigorta sorusudur ve pazar katını hiç geçmeyen bir kullanıcı üretir. Ücretsiz erişim, Arcade saatleri içinde denetimli ve programlı bir teklif olarak korunur.</w:t>
      </w:r>
    </w:p>
    <w:p>
      <w:pPr>
        <w:pStyle w:val="Heading2"/>
      </w:pPr>
      <w:r>
        <w:rPr>
          <w:i w:val="false"/>
          <w:iCs w:val="false"/>
        </w:rPr>
        <w:t xml:space="preserve">4.9 Üyelik sağlık panosu</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318"/>
        <w:gridCol w:w="4082"/>
        <w:gridCol w:w="3680"/>
      </w:tblGrid>
      <w:tr>
        <w:trPr>
          <w:cantSplit/>
          <w:tblHeader/>
        </w:trPr>
        <w:tc>
          <w:tcPr>
            <w:tcW w:type="dxa" w:w="231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Gösterge</w:t>
            </w:r>
          </w:p>
        </w:tc>
        <w:tc>
          <w:tcPr>
            <w:tcW w:type="dxa" w:w="408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Tanım</w:t>
            </w:r>
          </w:p>
        </w:tc>
        <w:tc>
          <w:tcPr>
            <w:tcW w:type="dxa" w:w="36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Kıyas / hedef</w:t>
            </w:r>
          </w:p>
        </w:tc>
      </w:tr>
      <w:tr>
        <w:trPr>
          <w:cantSplit/>
          <w:tblHeader w:val="false"/>
        </w:trPr>
        <w:tc>
          <w:tcPr>
            <w:tcW w:type="dxa" w:w="23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Misafir → Master dönüşümü</w:t>
            </w:r>
          </w:p>
        </w:tc>
        <w:tc>
          <w:tcPr>
            <w:tcW w:type="dxa" w:w="408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Kayıtlı ziyaretçilerin ödeyen üyeye dönüşmesi</w:t>
            </w:r>
          </w:p>
        </w:tc>
        <w:tc>
          <w:tcPr>
            <w:tcW w:type="dxa" w:w="36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Kat modelinin en duyarlı tek girdisi — açıkça belirlenir, aylık gözden geçirilir</w:t>
            </w:r>
          </w:p>
        </w:tc>
      </w:tr>
      <w:tr>
        <w:trPr>
          <w:cantSplit/>
          <w:tblHeader w:val="false"/>
        </w:trPr>
        <w:tc>
          <w:tcPr>
            <w:tcW w:type="dxa" w:w="23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Kıdemli yenileme</w:t>
            </w:r>
          </w:p>
        </w:tc>
        <w:tc>
          <w:tcPr>
            <w:tcW w:type="dxa" w:w="408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yılını geçmiş üyelerde yenileme</w:t>
            </w:r>
          </w:p>
        </w:tc>
        <w:tc>
          <w:tcPr>
            <w:tcW w:type="dxa" w:w="36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%85 (Costco %92,3; BJ's ~%90)</w:t>
            </w:r>
          </w:p>
        </w:tc>
      </w:tr>
      <w:tr>
        <w:trPr>
          <w:cantSplit/>
          <w:tblHeader w:val="false"/>
        </w:trPr>
        <w:tc>
          <w:tcPr>
            <w:tcW w:type="dxa" w:w="23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Üye başına aylık ziyaret</w:t>
            </w:r>
          </w:p>
        </w:tc>
        <w:tc>
          <w:tcPr>
            <w:tcW w:type="dxa" w:w="408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Toplam ziyaret ÷ aktif üye</w:t>
            </w:r>
          </w:p>
        </w:tc>
        <w:tc>
          <w:tcPr>
            <w:tcW w:type="dxa" w:w="36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4 — haftalık ritüel eşiği</w:t>
            </w:r>
          </w:p>
        </w:tc>
      </w:tr>
      <w:tr>
        <w:trPr>
          <w:cantSplit/>
          <w:tblHeader w:val="false"/>
        </w:trPr>
        <w:tc>
          <w:tcPr>
            <w:tcW w:type="dxa" w:w="23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90 gün aktivasyon</w:t>
            </w:r>
          </w:p>
        </w:tc>
        <w:tc>
          <w:tcPr>
            <w:tcW w:type="dxa" w:w="408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90 günde ≥ 6 ziyaret yapan yeni üyeler</w:t>
            </w:r>
          </w:p>
        </w:tc>
        <w:tc>
          <w:tcPr>
            <w:tcW w:type="dxa" w:w="36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%70</w:t>
            </w:r>
          </w:p>
        </w:tc>
      </w:tr>
      <w:tr>
        <w:trPr>
          <w:cantSplit/>
          <w:tblHeader w:val="false"/>
        </w:trPr>
        <w:tc>
          <w:tcPr>
            <w:tcW w:type="dxa" w:w="23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Sosyal bağ oranı</w:t>
            </w:r>
          </w:p>
        </w:tc>
        <w:tc>
          <w:tcPr>
            <w:tcW w:type="dxa" w:w="408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 az üç üyeyi adıyla tanıyan üyeler</w:t>
            </w:r>
          </w:p>
        </w:tc>
        <w:tc>
          <w:tcPr>
            <w:tcW w:type="dxa" w:w="36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%60 — yenilemenin en güçlü öncü göstergesi</w:t>
            </w:r>
          </w:p>
        </w:tc>
      </w:tr>
      <w:tr>
        <w:trPr>
          <w:cantSplit/>
          <w:tblHeader w:val="false"/>
        </w:trPr>
        <w:tc>
          <w:tcPr>
            <w:tcW w:type="dxa" w:w="23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Aidat dışı gelir / aidat</w:t>
            </w:r>
          </w:p>
        </w:tc>
        <w:tc>
          <w:tcPr>
            <w:tcW w:type="dxa" w:w="408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Üyelik ücretine göre bina içi harcama</w:t>
            </w:r>
          </w:p>
        </w:tc>
        <w:tc>
          <w:tcPr>
            <w:tcW w:type="dxa" w:w="36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1,5× – 3,0×</w:t>
            </w:r>
          </w:p>
        </w:tc>
      </w:tr>
      <w:tr>
        <w:trPr>
          <w:cantSplit/>
          <w:tblHeader w:val="false"/>
        </w:trPr>
        <w:tc>
          <w:tcPr>
            <w:tcW w:type="dxa" w:w="23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Referans payı</w:t>
            </w:r>
          </w:p>
        </w:tc>
        <w:tc>
          <w:tcPr>
            <w:tcW w:type="dxa" w:w="408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Mevcut üyeler üzerinden gelen yeni üyeler</w:t>
            </w:r>
          </w:p>
        </w:tc>
        <w:tc>
          <w:tcPr>
            <w:tcW w:type="dxa" w:w="36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%40</w:t>
            </w:r>
          </w:p>
        </w:tc>
      </w:tr>
      <w:tr>
        <w:trPr>
          <w:cantSplit/>
          <w:tblHeader w:val="false"/>
        </w:trPr>
        <w:tc>
          <w:tcPr>
            <w:tcW w:type="dxa" w:w="231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oturum doluluğu</w:t>
            </w:r>
          </w:p>
        </w:tc>
        <w:tc>
          <w:tcPr>
            <w:tcW w:type="dxa" w:w="408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 az üç üyenin katıldığı oturumlar</w:t>
            </w:r>
          </w:p>
        </w:tc>
        <w:tc>
          <w:tcPr>
            <w:tcW w:type="dxa" w:w="36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%80 — özel olarak ölçülür, asla gösterilmez</w:t>
            </w:r>
          </w:p>
        </w:tc>
      </w:tr>
      <w:tr>
        <w:trPr>
          <w:cantSplit/>
          <w:tblHeader w:val="false"/>
        </w:trPr>
        <w:tc>
          <w:tcPr>
            <w:tcW w:type="dxa" w:w="231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Genç kohort kaybı</w:t>
            </w:r>
          </w:p>
        </w:tc>
        <w:tc>
          <w:tcPr>
            <w:tcW w:type="dxa" w:w="408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18–24 yaş yıllık kayıp</w:t>
            </w:r>
          </w:p>
        </w:tc>
        <w:tc>
          <w:tcPr>
            <w:tcW w:type="dxa" w:w="36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&lt; %40 (sektör ortalaması %54,4)</w:t>
            </w:r>
          </w:p>
        </w:tc>
      </w:tr>
    </w:tbl>
    <w:p>
      <w:pPr>
        <w:spacing w:after="120"/>
      </w:pPr>
    </w:p>
    <w:p>
      <w:r>
        <w:br w:type="page"/>
      </w:r>
    </w:p>
    <w:p>
      <w:pPr>
        <w:pStyle w:val="Heading1"/>
      </w:pPr>
      <w:r>
        <w:rPr>
          <w:color w:val="0F5F5C"/>
        </w:rPr>
        <w:t xml:space="preserve">5 </w:t>
      </w:r>
      <w:r>
        <w:t xml:space="preserve">İş modeli ve birim ekonomisi</w:t>
      </w:r>
    </w:p>
    <w:p>
      <w:pPr>
        <w:pStyle w:val="Heading2"/>
      </w:pPr>
      <w:r>
        <w:rPr>
          <w:i w:val="false"/>
          <w:iCs w:val="false"/>
        </w:rPr>
        <w:t xml:space="preserve">5.1 Referans kat — 200.000 sqft, işletme geliri vs kira (kurucu senaryosu)</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169"/>
        <w:gridCol w:w="1413"/>
        <w:gridCol w:w="1413"/>
        <w:gridCol w:w="1413"/>
        <w:gridCol w:w="1672"/>
      </w:tblGrid>
      <w:tr>
        <w:trPr>
          <w:cantSplit/>
          <w:tblHeader/>
        </w:trPr>
        <w:tc>
          <w:tcPr>
            <w:tcW w:type="dxa" w:w="416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Gelir katmanı</w:t>
            </w:r>
          </w:p>
        </w:tc>
        <w:tc>
          <w:tcPr>
            <w:tcW w:type="dxa" w:w="141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$/sqft/yıl</w:t>
            </w:r>
          </w:p>
        </w:tc>
        <w:tc>
          <w:tcPr>
            <w:tcW w:type="dxa" w:w="141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Yıllık</w:t>
            </w:r>
          </w:p>
        </w:tc>
        <w:tc>
          <w:tcPr>
            <w:tcW w:type="dxa" w:w="141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Teslim maliyeti</w:t>
            </w:r>
          </w:p>
        </w:tc>
        <w:tc>
          <w:tcPr>
            <w:tcW w:type="dxa" w:w="167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Net</w:t>
            </w:r>
          </w:p>
        </w:tc>
      </w:tr>
      <w:tr>
        <w:trPr>
          <w:cantSplit/>
          <w:tblHeader w:val="false"/>
        </w:trPr>
        <w:tc>
          <w:tcPr>
            <w:tcW w:type="dxa" w:w="41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Modüler alan + devir</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~22 $</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~4,4M $</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~%30</w:t>
            </w:r>
          </w:p>
        </w:tc>
        <w:tc>
          <w:tcPr>
            <w:tcW w:type="dxa" w:w="1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~3,1M $</w:t>
            </w:r>
          </w:p>
        </w:tc>
      </w:tr>
      <w:tr>
        <w:trPr>
          <w:cantSplit/>
          <w:tblHeader w:val="false"/>
        </w:trPr>
        <w:tc>
          <w:tcPr>
            <w:tcW w:type="dxa" w:w="41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Arka alan hizmetleri</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~9 $</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~1,8M $</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~%45</w:t>
            </w:r>
          </w:p>
        </w:tc>
        <w:tc>
          <w:tcPr>
            <w:tcW w:type="dxa" w:w="1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~1,0M $</w:t>
            </w:r>
          </w:p>
        </w:tc>
      </w:tr>
      <w:tr>
        <w:trPr>
          <w:cantSplit/>
          <w:tblHeader w:val="false"/>
        </w:trPr>
        <w:tc>
          <w:tcPr>
            <w:tcW w:type="dxa" w:w="41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Medya / DOOH</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~7 $</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~1,4M $</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~%35</w:t>
            </w:r>
          </w:p>
        </w:tc>
        <w:tc>
          <w:tcPr>
            <w:tcW w:type="dxa" w:w="1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~0,9M $</w:t>
            </w:r>
          </w:p>
        </w:tc>
      </w:tr>
      <w:tr>
        <w:trPr>
          <w:cantSplit/>
          <w:tblHeader w:val="false"/>
        </w:trPr>
        <w:tc>
          <w:tcPr>
            <w:tcW w:type="dxa" w:w="41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Canlı ticaret + Sahne</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~13 $</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~2,6M $</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~%55</w:t>
            </w:r>
          </w:p>
        </w:tc>
        <w:tc>
          <w:tcPr>
            <w:tcW w:type="dxa" w:w="1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~1,2M $</w:t>
            </w:r>
          </w:p>
        </w:tc>
      </w:tr>
      <w:tr>
        <w:trPr>
          <w:cantSplit/>
          <w:tblHeader w:val="false"/>
        </w:trPr>
        <w:tc>
          <w:tcPr>
            <w:tcW w:type="dxa" w:w="41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Üyelik (Master + Arcade)</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trafikten</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~15,3M $</w:t>
            </w:r>
          </w:p>
        </w:tc>
        <w:tc>
          <w:tcPr>
            <w:tcW w:type="dxa" w:w="141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~%59</w:t>
            </w:r>
          </w:p>
        </w:tc>
        <w:tc>
          <w:tcPr>
            <w:tcW w:type="dxa" w:w="1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~6,3M $</w:t>
            </w:r>
          </w:p>
        </w:tc>
      </w:tr>
      <w:tr>
        <w:trPr>
          <w:cantSplit/>
          <w:tblHeader w:val="false"/>
        </w:trPr>
        <w:tc>
          <w:tcPr>
            <w:tcW w:type="dxa" w:w="41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Bina işletme gideri</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0,50 $/sqft/ay</w:t>
            </w:r>
          </w:p>
        </w:tc>
        <w:tc>
          <w:tcPr>
            <w:tcW w:type="dxa" w:w="1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−1,2M $</w:t>
            </w:r>
          </w:p>
        </w:tc>
      </w:tr>
      <w:tr>
        <w:trPr>
          <w:cantSplit/>
          <w:tblHeader w:val="false"/>
        </w:trPr>
        <w:tc>
          <w:tcPr>
            <w:tcW w:type="dxa" w:w="4169"/>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1B2530"/>
                <w:sz w:val="18"/>
                <w:szCs w:val="18"/>
              </w:rPr>
              <w:t xml:space="preserve">Brüt / NOI</w:t>
            </w:r>
          </w:p>
        </w:tc>
        <w:tc>
          <w:tcPr>
            <w:tcW w:type="dxa" w:w="1413"/>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1B2530"/>
                <w:sz w:val="18"/>
                <w:szCs w:val="18"/>
              </w:rPr>
              <w:t xml:space="preserve">~128 $</w:t>
            </w:r>
          </w:p>
        </w:tc>
        <w:tc>
          <w:tcPr>
            <w:tcW w:type="dxa" w:w="1413"/>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1B2530"/>
                <w:sz w:val="18"/>
                <w:szCs w:val="18"/>
              </w:rPr>
              <w:t xml:space="preserve">~25,5M $</w:t>
            </w:r>
          </w:p>
        </w:tc>
        <w:tc>
          <w:tcPr>
            <w:tcW w:type="dxa" w:w="1413"/>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p>
        </w:tc>
        <w:tc>
          <w:tcPr>
            <w:tcW w:type="dxa" w:w="1672"/>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1B2530"/>
                <w:sz w:val="18"/>
                <w:szCs w:val="18"/>
              </w:rPr>
              <w:t xml:space="preserve">~11,2M $ (%44)</w:t>
            </w:r>
          </w:p>
        </w:tc>
      </w:tr>
      <w:tr>
        <w:trPr>
          <w:cantSplit/>
          <w:tblHeader w:val="false"/>
        </w:trPr>
        <w:tc>
          <w:tcPr>
            <w:tcW w:type="dxa" w:w="41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REIT 1.0 net kira, aynı kutu</w:t>
            </w: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p>
        </w:tc>
        <w:tc>
          <w:tcPr>
            <w:tcW w:type="dxa" w:w="141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p>
        </w:tc>
        <w:tc>
          <w:tcPr>
            <w:tcW w:type="dxa" w:w="1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~3,0M $</w:t>
            </w:r>
          </w:p>
        </w:tc>
      </w:tr>
      <w:tr>
        <w:trPr>
          <w:cantSplit/>
          <w:tblHeader w:val="false"/>
        </w:trPr>
        <w:tc>
          <w:tcPr>
            <w:tcW w:type="dxa" w:w="4169"/>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1B2530"/>
                <w:sz w:val="18"/>
                <w:szCs w:val="18"/>
              </w:rPr>
              <w:t xml:space="preserve">NOI artışı</w:t>
            </w:r>
          </w:p>
        </w:tc>
        <w:tc>
          <w:tcPr>
            <w:tcW w:type="dxa" w:w="1413"/>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p>
        </w:tc>
        <w:tc>
          <w:tcPr>
            <w:tcW w:type="dxa" w:w="1413"/>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p>
        </w:tc>
        <w:tc>
          <w:tcPr>
            <w:tcW w:type="dxa" w:w="1413"/>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left"/>
            </w:pPr>
          </w:p>
        </w:tc>
        <w:tc>
          <w:tcPr>
            <w:tcW w:type="dxa" w:w="1672"/>
            <w:tcBorders>
              <w:top w:val="single" w:color="D5DBD6" w:sz="4"/>
              <w:left w:val="none" w:color="FFFFFF" w:sz="0"/>
              <w:bottom w:val="single" w:color="D5DBD6" w:sz="4"/>
              <w:right w:val="none" w:color="FFFFFF" w:sz="0"/>
            </w:tcBorders>
            <w:shd w:fill="EEF3F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1B2530"/>
                <w:sz w:val="18"/>
                <w:szCs w:val="18"/>
              </w:rPr>
              <w:t xml:space="preserve">≈3,7×</w:t>
            </w:r>
          </w:p>
        </w:tc>
      </w:tr>
    </w:tbl>
    <w:p>
      <w:pPr>
        <w:spacing w:after="120"/>
      </w:pPr>
    </w:p>
    <w:p>
      <w:pPr>
        <w:spacing w:after="140" w:line="300"/>
      </w:pPr>
      <w:r>
        <w:rPr>
          <w:i w:val="false"/>
          <w:iCs w:val="false"/>
        </w:rPr>
        <w:t xml:space="preserve">Kaynak: Unit Economics — Two-Case Assessment. Gösterim amaçlı yuvarlatılmış varsayımlar.</w:t>
      </w:r>
    </w:p>
    <w:p>
      <w:pPr>
        <w:pStyle w:val="Heading2"/>
      </w:pPr>
      <w:r>
        <w:rPr>
          <w:i w:val="false"/>
          <w:iCs w:val="false"/>
        </w:rPr>
        <w:t xml:space="preserve">5.2 Yatırımcı düzeyinde senaryo</w:t>
      </w:r>
    </w:p>
    <w:p>
      <w:pPr>
        <w:spacing w:after="140" w:line="300"/>
      </w:pPr>
      <w:r>
        <w:rPr>
          <w:i w:val="false"/>
          <w:iCs w:val="false"/>
        </w:rPr>
        <w:t xml:space="preserve">Kuruluş Turu, bir yatırım komitesi en zor itirazları dile getirmeden önce onları yanıtlayan ve artık Pozisyon 08'i içeren muhafazakâr bir senaryo üzerinden ele alınır:</w:t>
      </w:r>
    </w:p>
    <w:p>
      <w:pPr>
        <w:pStyle w:val="ListParagraph"/>
        <w:numPr>
          <w:ilvl w:val="0"/>
          <w:numId w:val="2"/>
        </w:numPr>
        <w:spacing w:after="80" w:line="290"/>
      </w:pPr>
      <w:r>
        <w:rPr>
          <w:b/>
          <w:bCs/>
          <w:i w:val="false"/>
          <w:iCs w:val="false"/>
        </w:rPr>
        <w:t xml:space="preserve">Üyelik, ziyaretten aşağı değil fiziksel kapasiteden yukarı kurulur.</w:t>
      </w:r>
      <w:r>
        <w:rPr>
          <w:i w:val="false"/>
          <w:iCs w:val="false"/>
        </w:rPr>
        <w:t xml:space="preserve"> 200K'lık bir kutunun asma katı gerçekçi masa oranlarında 12.000 değil, yaklaşık 2.000–3.600 ödeyen Arcade üyesi taşır. Master trafik aracı olarak (15–25 $), Arcade ise Industrious'a değil coworking medyanına göre (110–150 $) fiyatlanır. PoC bütçesi üyeliği brütün %60'ından %25–35 bandına çeker; fark modüler alan, komisyonlar ve Kurumsal koltuklarla kapatılır.</w:t>
      </w:r>
    </w:p>
    <w:p>
      <w:pPr>
        <w:pStyle w:val="ListParagraph"/>
        <w:numPr>
          <w:ilvl w:val="0"/>
          <w:numId w:val="2"/>
        </w:numPr>
        <w:spacing w:after="80" w:line="290"/>
      </w:pPr>
      <w:r>
        <w:rPr>
          <w:b/>
          <w:bCs/>
          <w:i w:val="false"/>
          <w:iCs w:val="false"/>
        </w:rPr>
        <w:t xml:space="preserve">Eksik hatlar eklenir.</w:t>
      </w:r>
      <w:r>
        <w:rPr>
          <w:i w:val="false"/>
          <w:iCs w:val="false"/>
        </w:rPr>
        <w:t xml:space="preserve"> Talep motoru (brütün %6–8'i olarak Sahne programı), sigorta, emlak vergisi tahsisi, güvenlik, teknoloji amortismanı. NOI marjı %44'ten %30–35 bandına düşse bile artış hâlâ 2,5–3× — finanse edilebilir bir hikâye.</w:t>
      </w:r>
    </w:p>
    <w:p>
      <w:pPr>
        <w:pStyle w:val="ListParagraph"/>
        <w:numPr>
          <w:ilvl w:val="0"/>
          <w:numId w:val="2"/>
        </w:numPr>
        <w:spacing w:after="80" w:line="290"/>
      </w:pPr>
      <w:r>
        <w:rPr>
          <w:b/>
          <w:bCs/>
          <w:i w:val="false"/>
          <w:iCs w:val="false"/>
        </w:rPr>
        <w:t xml:space="preserve">Alan bazlı modelleme.</w:t>
      </w:r>
      <w:r>
        <w:rPr>
          <w:i w:val="false"/>
          <w:iCs w:val="false"/>
        </w:rPr>
        <w:t xml:space="preserve"> Her hat kendi metrekaresini alır (gösterge olarak Pazar Salonu 90K, Arcade 45K, Sahne 15K, Arka Alan 30K, ortak 20K). Aynı alan iki kez kazandığında — gündüz Pazar Salonu, gece Sahne — bu bilinçli olarak belirtilir.</w:t>
      </w:r>
    </w:p>
    <w:p>
      <w:pPr>
        <w:pStyle w:val="ListParagraph"/>
        <w:numPr>
          <w:ilvl w:val="0"/>
          <w:numId w:val="2"/>
        </w:numPr>
        <w:spacing w:after="80" w:line="290"/>
      </w:pPr>
      <w:r>
        <w:rPr>
          <w:b/>
          <w:bCs/>
          <w:i w:val="false"/>
          <w:iCs w:val="false"/>
        </w:rPr>
        <w:t xml:space="preserve">Aidat dışı gelir üyeliğin KPI'ıdır.</w:t>
      </w:r>
      <w:r>
        <w:rPr>
          <w:i w:val="false"/>
          <w:iCs w:val="false"/>
        </w:rPr>
        <w:t xml:space="preserve"> Aidatın her doları için 1,5–3,0× bina içi harcama hedefi, 15–25 $'lık Master'ı rasyonel kılan şeydir: ücret, diğer altı hat üzerinde kazandıran ayak trafiğini satın alır.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714"/>
        <w:gridCol w:w="1210"/>
        <w:gridCol w:w="1210"/>
        <w:gridCol w:w="1300"/>
        <w:gridCol w:w="3646"/>
      </w:tblGrid>
      <w:tr>
        <w:trPr>
          <w:cantSplit/>
          <w:tblHeader/>
        </w:trPr>
        <w:tc>
          <w:tcPr>
            <w:tcW w:type="dxa" w:w="271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Senaryo</w:t>
            </w:r>
          </w:p>
        </w:tc>
        <w:tc>
          <w:tcPr>
            <w:tcW w:type="dxa" w:w="121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Brüt</w:t>
            </w:r>
          </w:p>
        </w:tc>
        <w:tc>
          <w:tcPr>
            <w:tcW w:type="dxa" w:w="121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NOI marjı</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NOI</w:t>
            </w:r>
          </w:p>
        </w:tc>
        <w:tc>
          <w:tcPr>
            <w:tcW w:type="dxa" w:w="364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3,0M $ kiraya göre artış</w:t>
            </w:r>
          </w:p>
        </w:tc>
      </w:tr>
      <w:tr>
        <w:trPr>
          <w:cantSplit/>
          <w:tblHeader w:val="false"/>
        </w:trPr>
        <w:tc>
          <w:tcPr>
            <w:tcW w:type="dxa" w:w="27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Kurucu tabanı</w:t>
            </w:r>
          </w:p>
        </w:tc>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~25,5M $</w:t>
            </w:r>
          </w:p>
        </w:tc>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%44</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~11,2M $</w:t>
            </w:r>
          </w:p>
        </w:tc>
        <w:tc>
          <w:tcPr>
            <w:tcW w:type="dxa" w:w="364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~3,7×</w:t>
            </w:r>
          </w:p>
        </w:tc>
      </w:tr>
      <w:tr>
        <w:trPr>
          <w:cantSplit/>
          <w:tblHeader w:val="false"/>
        </w:trPr>
        <w:tc>
          <w:tcPr>
            <w:tcW w:type="dxa" w:w="27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Muhafazakâr (tur değerlendirmesi)</w:t>
            </w:r>
          </w:p>
        </w:tc>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~20–22M $</w:t>
            </w:r>
          </w:p>
        </w:tc>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%30–35</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~6,5–7,5M $</w:t>
            </w:r>
          </w:p>
        </w:tc>
        <w:tc>
          <w:tcPr>
            <w:tcW w:type="dxa" w:w="364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~2,2–2,5×</w:t>
            </w:r>
          </w:p>
        </w:tc>
      </w:tr>
      <w:tr>
        <w:trPr>
          <w:cantSplit/>
          <w:tblHeader w:val="false"/>
        </w:trPr>
        <w:tc>
          <w:tcPr>
            <w:tcW w:type="dxa" w:w="27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Durdurma eşiği</w:t>
            </w:r>
          </w:p>
        </w:tc>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w:t>
            </w:r>
          </w:p>
        </w:tc>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&lt; %20</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w:t>
            </w:r>
          </w:p>
        </w:tc>
        <w:tc>
          <w:tcPr>
            <w:tcW w:type="dxa" w:w="364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Hat karması ve sponsor şartları yeniden tasarlanır</w:t>
            </w:r>
          </w:p>
        </w:tc>
      </w:tr>
    </w:tbl>
    <w:p>
      <w:pPr>
        <w:spacing w:after="120"/>
      </w:pPr>
    </w:p>
    <w:p>
      <w:pPr>
        <w:spacing w:after="140" w:line="300"/>
      </w:pPr>
      <w:r>
        <w:rPr>
          <w:b/>
          <w:bCs/>
          <w:i w:val="false"/>
          <w:iCs w:val="false"/>
          <w:color w:val="8A5A12"/>
          <w:shd w:fill="F6ECD7" w:val="clear"/>
        </w:rPr>
        <w:t xml:space="preserve">[Konsey karar verir]</w:t>
      </w:r>
      <w:r>
        <w:rPr>
          <w:i w:val="false"/>
          <w:iCs w:val="false"/>
        </w:rPr>
        <w:t xml:space="preserve">: yatırımcı sunumunda hangi senaryo önde gider. Muhafazakâr senaryo önerilir: aşağıdan yukarı revize etmek, yukarıdan aşağı düzeltmekten daha kolay savunulur.</w:t>
      </w:r>
    </w:p>
    <w:p>
      <w:pPr>
        <w:pStyle w:val="Heading2"/>
      </w:pPr>
      <w:r>
        <w:rPr>
          <w:i w:val="false"/>
          <w:iCs w:val="false"/>
        </w:rPr>
        <w:t xml:space="preserve">5.3 RevPAM — tek tanım, üç ölçek</w:t>
      </w:r>
    </w:p>
    <w:p>
      <w:pPr>
        <w:pStyle w:val="ListParagraph"/>
        <w:numPr>
          <w:ilvl w:val="0"/>
          <w:numId w:val="3"/>
        </w:numPr>
        <w:spacing w:after="80" w:line="290"/>
      </w:pPr>
      <w:r>
        <w:rPr>
          <w:b/>
          <w:bCs/>
          <w:i w:val="false"/>
          <w:iCs w:val="false"/>
        </w:rPr>
        <w:t xml:space="preserve">Metre başına</w:t>
      </w:r>
      <w:r>
        <w:rPr>
          <w:i w:val="false"/>
          <w:iCs w:val="false"/>
        </w:rPr>
        <w:t xml:space="preserve"> — mülk sahibinin dili, $/sqft kiraya karşı.</w:t>
      </w:r>
    </w:p>
    <w:p>
      <w:pPr>
        <w:pStyle w:val="ListParagraph"/>
        <w:numPr>
          <w:ilvl w:val="0"/>
          <w:numId w:val="3"/>
        </w:numPr>
        <w:spacing w:after="80" w:line="290"/>
      </w:pPr>
      <w:r>
        <w:rPr>
          <w:b/>
          <w:bCs/>
          <w:i w:val="false"/>
          <w:iCs w:val="false"/>
        </w:rPr>
        <w:t xml:space="preserve">Üye başına</w:t>
      </w:r>
      <w:r>
        <w:rPr>
          <w:i w:val="false"/>
          <w:iCs w:val="false"/>
        </w:rPr>
        <w:t xml:space="preserve"> — yatırımcının dili, abonelik işletmelerine karşı.</w:t>
      </w:r>
    </w:p>
    <w:p>
      <w:pPr>
        <w:pStyle w:val="ListParagraph"/>
        <w:numPr>
          <w:ilvl w:val="0"/>
          <w:numId w:val="3"/>
        </w:numPr>
        <w:spacing w:after="80" w:line="290"/>
      </w:pPr>
      <w:r>
        <w:rPr>
          <w:b/>
          <w:bCs/>
          <w:i w:val="false"/>
          <w:iCs w:val="false"/>
        </w:rPr>
        <w:t xml:space="preserve">Hane başına</w:t>
      </w:r>
      <w:r>
        <w:rPr>
          <w:i w:val="false"/>
          <w:iCs w:val="false"/>
        </w:rPr>
        <w:t xml:space="preserve"> — Atmosphere'in dili: bir hanenin tüm katmanlarda getirdiği aylık gelir. Hiçbir ABD operatörü bunu hedeflemiyor; savunulabilir "ilk" burada.</w:t>
      </w:r>
    </w:p>
    <w:p>
      <w:pPr>
        <w:pStyle w:val="Heading2"/>
      </w:pPr>
      <w:r>
        <w:rPr>
          <w:i w:val="false"/>
          <w:iCs w:val="false"/>
        </w:rPr>
        <w:t xml:space="preserve">5.4 Tek başına kanıt olarak hat 01</w:t>
      </w:r>
    </w:p>
    <w:p>
      <w:pPr>
        <w:spacing w:after="140" w:line="300"/>
      </w:pPr>
      <w:r>
        <w:rPr>
          <w:i w:val="false"/>
          <w:iCs w:val="false"/>
        </w:rPr>
        <w:t xml:space="preserve">%15 CPG karması ve %55 dolulukla 300 masa, yalnızca hat 01'de yılda yaklaşık 9,2M $ gösterge gelir verir — sqft başına yaklaşık 384 $, aynı metrekarede piyasa kirasının kabaca 15 katı. Costco/CDS fiyat merdiveni zaten var olduğundan, PoC'nin en hızlı kanıtlayabileceği hat budur.</w:t>
      </w:r>
    </w:p>
    <w:p>
      <w:pPr>
        <w:pStyle w:val="Heading2"/>
      </w:pPr>
      <w:r>
        <w:rPr>
          <w:i w:val="false"/>
          <w:iCs w:val="false"/>
        </w:rPr>
        <w:t xml:space="preserve">5.5 Landlord Math — mülk sahibi neden evet der</w:t>
      </w:r>
    </w:p>
    <w:p>
      <w:pPr>
        <w:spacing w:after="140" w:line="300"/>
      </w:pPr>
      <w:r>
        <w:rPr>
          <w:i w:val="false"/>
          <w:iCs w:val="false"/>
        </w:rPr>
        <w:t xml:space="preserve">Üçlü net kirada mülk sahibinin geliri, on yılda bir imzalanan sözleşme kirası eksi boşluk eksi amortize edilmiş yeniden kiralama maliyetidir. Müttefik yapısında mülk sahibi, sqft başına taban garantisiyle işletme gelirinden anlaşılmış bir pay alır: aşağı yön sınırlı, yukarı yön sınırsız, ilk günden ödenir. Landlord Math çalışma sayfası her CFO'nun sayfayı kendi girdileriyle yeniden kurmasına izin verir. Arka arkaya iki mülk sahibi kira yerine hisseyi reddederse mekân Industrious tipi bir yönetim anlaşmasıyla açılır.</w:t>
      </w:r>
    </w:p>
    <w:p>
      <w:pPr>
        <w:pStyle w:val="Heading2"/>
      </w:pPr>
      <w:r>
        <w:rPr>
          <w:i w:val="false"/>
          <w:iCs w:val="false"/>
        </w:rPr>
        <w:t xml:space="preserve">5.6 Portföy mantığı — yalnızca uzun vadeli senaryo</w:t>
      </w:r>
    </w:p>
    <w:p>
      <w:pPr>
        <w:spacing w:after="140" w:line="300"/>
      </w:pPr>
      <w:r>
        <w:rPr>
          <w:i w:val="false"/>
          <w:iCs w:val="false"/>
        </w:rPr>
        <w:t xml:space="preserve">Tek lokasyon ekonomisi sabit tutulduğunda 50 lokasyon (~10M sqft), Industrious'un birim başına ~4M $ değerine ve %50+ gelir CAGR'ına çapalanmış olarak kurucu senaryosunda yılda ~560M $ NOI verir. 500 lokasyonlu rakam bilinçli olarak gösterilmemektedir. Venue-0 dört çeyreklik veriye sahip olmadan bu sayıların hiçbiri bir sponsorun ya da mülk sahibinin masasına ait değildir.</w:t>
      </w:r>
    </w:p>
    <w:p>
      <w:r>
        <w:br w:type="page"/>
      </w:r>
    </w:p>
    <w:p>
      <w:pPr>
        <w:pStyle w:val="Heading1"/>
      </w:pPr>
      <w:r>
        <w:rPr>
          <w:color w:val="0F5F5C"/>
        </w:rPr>
        <w:t xml:space="preserve">6 </w:t>
      </w:r>
      <w:r>
        <w:t xml:space="preserve">Emsaller — neyi kopyalıyoruz, neden kaçınıyoruz</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96"/>
        <w:gridCol w:w="3399"/>
        <w:gridCol w:w="4985"/>
      </w:tblGrid>
      <w:tr>
        <w:trPr>
          <w:cantSplit/>
          <w:tblHeader/>
        </w:trPr>
        <w:tc>
          <w:tcPr>
            <w:tcW w:type="dxa" w:w="169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Emsal</w:t>
            </w:r>
          </w:p>
        </w:tc>
        <w:tc>
          <w:tcPr>
            <w:tcW w:type="dxa" w:w="339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Ne oldu</w:t>
            </w:r>
          </w:p>
        </w:tc>
        <w:tc>
          <w:tcPr>
            <w:tcW w:type="dxa" w:w="498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Belgelerimize yazılan kural</w:t>
            </w:r>
          </w:p>
        </w:tc>
      </w:tr>
      <w:tr>
        <w:trPr>
          <w:cantSplit/>
          <w:tblHeader w:val="false"/>
        </w:trPr>
        <w:tc>
          <w:tcPr>
            <w:tcW w:type="dxa" w:w="169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WeWork</w:t>
            </w:r>
          </w:p>
        </w:tc>
        <w:tc>
          <w:tcPr>
            <w:tcW w:type="dxa" w:w="3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Operatörün altında uzun kiralar; talep yer değiştirince çöktü</w:t>
            </w:r>
          </w:p>
        </w:tc>
        <w:tc>
          <w:tcPr>
            <w:tcW w:type="dxa" w:w="49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WeWork yarası: OpCo altında uzun süreli kira yükümlülüğü yok — yalnızca yönetim ya da gelir paylaşımı</w:t>
            </w:r>
          </w:p>
        </w:tc>
      </w:tr>
      <w:tr>
        <w:trPr>
          <w:cantSplit/>
          <w:tblHeader w:val="false"/>
        </w:trPr>
        <w:tc>
          <w:tcPr>
            <w:tcW w:type="dxa" w:w="169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REEF</w:t>
            </w:r>
          </w:p>
        </w:tc>
        <w:tc>
          <w:tcPr>
            <w:tcW w:type="dxa" w:w="3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Şube ekonomisi kanıtlanmadan ölçeklendi</w:t>
            </w:r>
          </w:p>
        </w:tc>
        <w:tc>
          <w:tcPr>
            <w:tcW w:type="dxa" w:w="49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REEF yarası: kendi işlettiği yeme-içme yok; dört çeyrek veri olmadan ikinci mekân yok</w:t>
            </w:r>
          </w:p>
        </w:tc>
      </w:tr>
      <w:tr>
        <w:trPr>
          <w:cantSplit/>
          <w:tblHeader w:val="false"/>
        </w:trPr>
        <w:tc>
          <w:tcPr>
            <w:tcW w:type="dxa" w:w="169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Industrious → CBRE (800M $)</w:t>
            </w:r>
          </w:p>
        </w:tc>
        <w:tc>
          <w:tcPr>
            <w:tcW w:type="dxa" w:w="3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Varlık-hafif operatör yeni bir segment olarak satın alındı</w:t>
            </w:r>
          </w:p>
        </w:tc>
        <w:tc>
          <w:tcPr>
            <w:tcW w:type="dxa" w:w="49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Industrious doktrini: mülk sahibi ortaktır; CBRE düşman değil çıkıştır</w:t>
            </w:r>
          </w:p>
        </w:tc>
      </w:tr>
      <w:tr>
        <w:trPr>
          <w:cantSplit/>
          <w:tblHeader w:val="false"/>
        </w:trPr>
        <w:tc>
          <w:tcPr>
            <w:tcW w:type="dxa" w:w="169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Showfields / Neighborhood Goods / b8ta</w:t>
            </w:r>
          </w:p>
        </w:tc>
        <w:tc>
          <w:tcPr>
            <w:tcW w:type="dxa" w:w="3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Vitrin ücreti modeli trafiğe rağmen başarısız oldu</w:t>
            </w:r>
          </w:p>
        </w:tc>
        <w:tc>
          <w:tcPr>
            <w:tcW w:type="dxa" w:w="49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Envanteri marka taşır; biz yedi hattan pay alırız</w:t>
            </w:r>
          </w:p>
        </w:tc>
      </w:tr>
      <w:tr>
        <w:trPr>
          <w:cantSplit/>
          <w:tblHeader w:val="false"/>
        </w:trPr>
        <w:tc>
          <w:tcPr>
            <w:tcW w:type="dxa" w:w="169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Leap (115+ alan, Simon)</w:t>
            </w:r>
          </w:p>
        </w:tc>
        <w:tc>
          <w:tcPr>
            <w:tcW w:type="dxa" w:w="3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Kendi kitlesini getiren markalarla tam hizmet işletim</w:t>
            </w:r>
          </w:p>
        </w:tc>
        <w:tc>
          <w:tcPr>
            <w:tcW w:type="dxa" w:w="49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 kriteri: kendi kitlesi var</w:t>
            </w:r>
          </w:p>
        </w:tc>
      </w:tr>
      <w:tr>
        <w:trPr>
          <w:cantSplit/>
          <w:tblHeader w:val="false"/>
        </w:trPr>
        <w:tc>
          <w:tcPr>
            <w:tcW w:type="dxa" w:w="169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Amazon 4-star / Style</w:t>
            </w:r>
          </w:p>
        </w:tc>
        <w:tc>
          <w:tcPr>
            <w:tcW w:type="dxa" w:w="3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Rafta en iyi yorumlanan ürünler; aşırı mühendislik</w:t>
            </w:r>
          </w:p>
        </w:tc>
        <w:tc>
          <w:tcPr>
            <w:tcW w:type="dxa" w:w="49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Talep varsayılmaz, satın alınır; PoC teknolojisi tek üreticinin kapsamında</w:t>
            </w:r>
          </w:p>
        </w:tc>
      </w:tr>
      <w:tr>
        <w:trPr>
          <w:cantSplit/>
          <w:tblHeader w:val="false"/>
        </w:trPr>
        <w:tc>
          <w:tcPr>
            <w:tcW w:type="dxa" w:w="169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BHV Paris'te SHEIN</w:t>
            </w:r>
          </w:p>
        </w:tc>
        <w:tc>
          <w:tcPr>
            <w:tcW w:type="dxa" w:w="3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Genç trafiği kiracıları ve ortakları kaçırdı</w:t>
            </w:r>
          </w:p>
        </w:tc>
        <w:tc>
          <w:tcPr>
            <w:tcW w:type="dxa" w:w="49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Üç kademeli uyum politikası; ultra hızlı moda PoC dışında</w:t>
            </w:r>
          </w:p>
        </w:tc>
      </w:tr>
      <w:tr>
        <w:trPr>
          <w:cantSplit/>
          <w:tblHeader w:val="false"/>
        </w:trPr>
        <w:tc>
          <w:tcPr>
            <w:tcW w:type="dxa" w:w="169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Costco (%92,3 yenileme)</w:t>
            </w:r>
          </w:p>
        </w:tc>
        <w:tc>
          <w:tcPr>
            <w:tcW w:type="dxa" w:w="3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Ücret bir-iki ziyarette geri kazanılır</w:t>
            </w:r>
          </w:p>
        </w:tc>
        <w:tc>
          <w:tcPr>
            <w:tcW w:type="dxa" w:w="49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Geri ödeme kuralı: ücret 30–45 gün içinde geri dönmüş hissedilir</w:t>
            </w:r>
          </w:p>
        </w:tc>
      </w:tr>
      <w:tr>
        <w:trPr>
          <w:cantSplit/>
          <w:tblHeader w:val="false"/>
        </w:trPr>
        <w:tc>
          <w:tcPr>
            <w:tcW w:type="dxa" w:w="169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Casa Cipriani (fotoğraf yasağı)</w:t>
            </w:r>
          </w:p>
        </w:tc>
        <w:tc>
          <w:tcPr>
            <w:tcW w:type="dxa" w:w="3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Özenti değil, ürün koruması</w:t>
            </w:r>
          </w:p>
        </w:tc>
        <w:tc>
          <w:tcPr>
            <w:tcW w:type="dxa" w:w="49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Mekâna bağlı kamera bölgelemesi</w:t>
            </w:r>
          </w:p>
        </w:tc>
      </w:tr>
      <w:tr>
        <w:trPr>
          <w:cantSplit/>
          <w:tblHeader w:val="false"/>
        </w:trPr>
        <w:tc>
          <w:tcPr>
            <w:tcW w:type="dxa" w:w="169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Volta (1,4B $ → 169M $)</w:t>
            </w:r>
          </w:p>
        </w:tc>
        <w:tc>
          <w:tcPr>
            <w:tcW w:type="dxa" w:w="3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Şirket olarak otopark ekranları</w:t>
            </w:r>
          </w:p>
        </w:tc>
        <w:tc>
          <w:tcPr>
            <w:tcW w:type="dxa" w:w="498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Medya ve otopark hatları bonus hatlardır, asla işin kendisi değil</w:t>
            </w:r>
          </w:p>
        </w:tc>
      </w:tr>
      <w:tr>
        <w:trPr>
          <w:cantSplit/>
          <w:tblHeader w:val="false"/>
        </w:trPr>
        <w:tc>
          <w:tcPr>
            <w:tcW w:type="dxa" w:w="169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IPG × Facebook (2006, ~45×)</w:t>
            </w:r>
          </w:p>
        </w:tc>
        <w:tc>
          <w:tcPr>
            <w:tcW w:type="dxa" w:w="3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Harcamaya bağlı erken kanal hissesi</w:t>
            </w:r>
          </w:p>
        </w:tc>
        <w:tc>
          <w:tcPr>
            <w:tcW w:type="dxa" w:w="498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Taçlandırılmış ajans değil medya rayları; harcamaya bağlı hisse yok</w:t>
            </w:r>
          </w:p>
        </w:tc>
      </w:tr>
    </w:tbl>
    <w:p>
      <w:pPr>
        <w:spacing w:after="120"/>
      </w:pPr>
    </w:p>
    <w:p>
      <w:r>
        <w:br w:type="page"/>
      </w:r>
    </w:p>
    <w:p>
      <w:pPr>
        <w:pStyle w:val="Heading1"/>
      </w:pPr>
      <w:r>
        <w:rPr>
          <w:color w:val="0F5F5C"/>
        </w:rPr>
        <w:t xml:space="preserve">7 </w:t>
      </w:r>
      <w:r>
        <w:t xml:space="preserve">İttifak İskeleti — sermayenin fonladığı şey</w:t>
      </w:r>
    </w:p>
    <w:p>
      <w:pPr>
        <w:spacing w:after="140" w:line="300"/>
      </w:pPr>
      <w:r>
        <w:rPr>
          <w:i w:val="false"/>
          <w:iCs w:val="false"/>
        </w:rPr>
        <w:t xml:space="preserve">Tur, sonradan ortak arayacak bir şirketi fonlamaz. Her karşı tarafın ABD hukukuna ve pazar teamülüne tek standartla, bir kez kurulan tek bir huniden sırayla girdiği, on numaralı pozisyon ve bir Güven Müttefiki'nden oluşan bir bedeni fonlar.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00"/>
        <w:gridCol w:w="1580"/>
        <w:gridCol w:w="3839"/>
        <w:gridCol w:w="3561"/>
      </w:tblGrid>
      <w:tr>
        <w:trPr>
          <w:cantSplit/>
          <w:tblHeader/>
        </w:trPr>
        <w:tc>
          <w:tcPr>
            <w:tcW w:type="dxa" w:w="11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Pozisyon</w:t>
            </w:r>
          </w:p>
        </w:tc>
        <w:tc>
          <w:tcPr>
            <w:tcW w:type="dxa" w:w="15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Müttefik</w:t>
            </w:r>
          </w:p>
        </w:tc>
        <w:tc>
          <w:tcPr>
            <w:tcW w:type="dxa" w:w="383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Rol</w:t>
            </w:r>
          </w:p>
        </w:tc>
        <w:tc>
          <w:tcPr>
            <w:tcW w:type="dxa" w:w="356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Durum, Eylül 2026</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01</w:t>
            </w:r>
          </w:p>
        </w:tc>
        <w:tc>
          <w:tcPr>
            <w:tcW w:type="dxa" w:w="15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 Müttefiki</w:t>
            </w:r>
          </w:p>
        </w:tc>
        <w:tc>
          <w:tcPr>
            <w:tcW w:type="dxa" w:w="383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Omurga: yapı, güvene dayalı sorumluluk, dar yönetişim, emanet</w:t>
            </w:r>
          </w:p>
        </w:tc>
        <w:tc>
          <w:tcPr>
            <w:tcW w:type="dxa" w:w="356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Beş firma değerlendirildi; Cole-Frieman &amp; Mallon birinci sırada; görüşmeler bekliyor</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02</w:t>
            </w:r>
          </w:p>
        </w:tc>
        <w:tc>
          <w:tcPr>
            <w:tcW w:type="dxa" w:w="15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Medya Ajan Müttefiki</w:t>
            </w:r>
          </w:p>
        </w:tc>
        <w:tc>
          <w:tcPr>
            <w:tcW w:type="dxa" w:w="383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Piramidin zaten satın aldığı raylar: SSP'ler, Faire / Shopify, açık Sertifikalı Ortak programı</w:t>
            </w:r>
          </w:p>
        </w:tc>
        <w:tc>
          <w:tcPr>
            <w:tcW w:type="dxa" w:w="356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Ray tezi benimsendi; Faire hisse düzeyi hattı yetkilendirme bekliyor</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03</w:t>
            </w:r>
          </w:p>
        </w:tc>
        <w:tc>
          <w:tcPr>
            <w:tcW w:type="dxa" w:w="15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Mülk Sahibi Müttefiki — Fiziksel</w:t>
            </w:r>
          </w:p>
        </w:tc>
        <w:tc>
          <w:tcPr>
            <w:tcW w:type="dxa" w:w="383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Kira yerine hisse ya da gelir paylaşımı; AVM değil kutu</w:t>
            </w:r>
          </w:p>
        </w:tc>
        <w:tc>
          <w:tcPr>
            <w:tcW w:type="dxa" w:w="356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 Math yayımlandı; CBL sınıfı hedef</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04</w:t>
            </w:r>
          </w:p>
        </w:tc>
        <w:tc>
          <w:tcPr>
            <w:tcW w:type="dxa" w:w="15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Müttefiki</w:t>
            </w:r>
          </w:p>
        </w:tc>
        <w:tc>
          <w:tcPr>
            <w:tcW w:type="dxa" w:w="383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Kapı kit, aktivasyon ve opsiyonla öder — nakit değil, alınan royalty de değil</w:t>
            </w:r>
          </w:p>
        </w:tc>
        <w:tc>
          <w:tcPr>
            <w:tcW w:type="dxa" w:w="356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Opsiyon 4 merdiveni; Kia America birincil hedef</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05</w:t>
            </w:r>
          </w:p>
        </w:tc>
        <w:tc>
          <w:tcPr>
            <w:tcW w:type="dxa" w:w="15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 Müttefikleri</w:t>
            </w:r>
          </w:p>
        </w:tc>
        <w:tc>
          <w:tcPr>
            <w:tcW w:type="dxa" w:w="383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Raylar (Etsy, Faire, Depop/StockX, MakerWorld), evsiz markalar, bir market anchor'ı</w:t>
            </w:r>
          </w:p>
        </w:tc>
        <w:tc>
          <w:tcPr>
            <w:tcW w:type="dxa" w:w="356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142 marka puanlandı; 23 öncelik A; 90 günlük erişim planı</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06</w:t>
            </w:r>
          </w:p>
        </w:tc>
        <w:tc>
          <w:tcPr>
            <w:tcW w:type="dxa" w:w="15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Girişimci Müttefikleri</w:t>
            </w:r>
          </w:p>
        </w:tc>
        <w:tc>
          <w:tcPr>
            <w:tcW w:type="dxa" w:w="383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1.001 pozisyon; arkasındaki kanıt endeksi</w:t>
            </w:r>
          </w:p>
        </w:tc>
        <w:tc>
          <w:tcPr>
            <w:tcW w:type="dxa" w:w="356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Kanıt endeksi ve Alan &amp; Kapasite Modeli yayımlandı</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07</w:t>
            </w:r>
          </w:p>
        </w:tc>
        <w:tc>
          <w:tcPr>
            <w:tcW w:type="dxa" w:w="15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Mülk Sahibi Müttefiki — Dijital</w:t>
            </w:r>
          </w:p>
        </w:tc>
        <w:tc>
          <w:tcPr>
            <w:tcW w:type="dxa" w:w="383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Üçüncü Alan ve Üçüncü Kanal için platform ve altyapı sahipleri</w:t>
            </w:r>
          </w:p>
        </w:tc>
        <w:tc>
          <w:tcPr>
            <w:tcW w:type="dxa" w:w="356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Medya raylarını izler</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08</w:t>
            </w:r>
          </w:p>
        </w:tc>
        <w:tc>
          <w:tcPr>
            <w:tcW w:type="dxa" w:w="15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Kullanıcılar, Ziyaretçiler ve Ötesi</w:t>
            </w:r>
          </w:p>
        </w:tc>
        <w:tc>
          <w:tcPr>
            <w:tcW w:type="dxa" w:w="383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Bölüm 4'ün üyelik mimarisi: yedi kademe, üç aile</w:t>
            </w:r>
          </w:p>
        </w:tc>
        <w:tc>
          <w:tcPr>
            <w:tcW w:type="dxa" w:w="356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Rev.01 sunuldu; Master fiyatı açık karar</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09</w:t>
            </w:r>
          </w:p>
        </w:tc>
        <w:tc>
          <w:tcPr>
            <w:tcW w:type="dxa" w:w="15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Finansal Veri</w:t>
            </w:r>
          </w:p>
        </w:tc>
        <w:tc>
          <w:tcPr>
            <w:tcW w:type="dxa" w:w="383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Kanonik sayılar, model, raporlama standardı</w:t>
            </w:r>
          </w:p>
        </w:tc>
        <w:tc>
          <w:tcPr>
            <w:tcW w:type="dxa" w:w="356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Excel modeli ve finansal veritabanı teslim edildi; kanonik sayfa sahibi atanacak</w:t>
            </w:r>
          </w:p>
        </w:tc>
      </w:tr>
      <w:tr>
        <w:trPr>
          <w:cantSplit/>
          <w:tblHeader w:val="false"/>
        </w:trPr>
        <w:tc>
          <w:tcPr>
            <w:tcW w:type="dxa" w:w="11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w:t>
            </w:r>
          </w:p>
        </w:tc>
        <w:tc>
          <w:tcPr>
            <w:tcW w:type="dxa" w:w="15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Phygital Elements</w:t>
            </w:r>
          </w:p>
        </w:tc>
        <w:tc>
          <w:tcPr>
            <w:tcW w:type="dxa" w:w="383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Omurganın diğer ucu; ALA'nın gerçek yüzü</w:t>
            </w:r>
          </w:p>
        </w:tc>
        <w:tc>
          <w:tcPr>
            <w:tcW w:type="dxa" w:w="356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Fikstür örnekleri tezgâhta; PoC için üretim müttefiki</w:t>
            </w:r>
          </w:p>
        </w:tc>
      </w:tr>
      <w:tr>
        <w:trPr>
          <w:cantSplit/>
          <w:tblHeader w:val="false"/>
        </w:trPr>
        <w:tc>
          <w:tcPr>
            <w:tcW w:type="dxa" w:w="11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w:t>
            </w:r>
          </w:p>
        </w:tc>
        <w:tc>
          <w:tcPr>
            <w:tcW w:type="dxa" w:w="15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Güven Müttefiki</w:t>
            </w:r>
          </w:p>
        </w:tc>
        <w:tc>
          <w:tcPr>
            <w:tcW w:type="dxa" w:w="383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Tek ABD işletme ortağı; SPV mandası</w:t>
            </w:r>
          </w:p>
        </w:tc>
        <w:tc>
          <w:tcPr>
            <w:tcW w:type="dxa" w:w="356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Portre yayımlandı; emanetten önce sınama</w:t>
            </w:r>
          </w:p>
        </w:tc>
      </w:tr>
    </w:tbl>
    <w:p>
      <w:pPr>
        <w:spacing w:after="120"/>
      </w:pPr>
    </w:p>
    <w:p>
      <w:pPr>
        <w:pStyle w:val="Heading2"/>
      </w:pPr>
      <w:r>
        <w:rPr>
          <w:i w:val="false"/>
          <w:iCs w:val="false"/>
        </w:rPr>
        <w:t xml:space="preserve">7.1 Hukuk Müttefiki — Vekâlet Mandası</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6471"/>
        <w:gridCol w:w="2309"/>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Bileşen</w:t>
            </w:r>
          </w:p>
        </w:tc>
        <w:tc>
          <w:tcPr>
            <w:tcW w:type="dxa" w:w="647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Hukuk Müttefiki'nin tuttuğu</w:t>
            </w:r>
          </w:p>
        </w:tc>
        <w:tc>
          <w:tcPr>
            <w:tcW w:type="dxa" w:w="230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ALA ve müttefiklerde kalan</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Ekonomi</w:t>
            </w:r>
          </w:p>
        </w:tc>
        <w:tc>
          <w:tcPr>
            <w:tcW w:type="dxa" w:w="647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Girişimde ALA'nın kendi payından bir pay</w:t>
            </w:r>
          </w:p>
        </w:tc>
        <w:tc>
          <w:tcPr>
            <w:tcW w:type="dxa" w:w="230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Diğer tüm hisse</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Güvene dayalı (geniş)</w:t>
            </w:r>
          </w:p>
        </w:tc>
        <w:tc>
          <w:tcPr>
            <w:tcW w:type="dxa" w:w="647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ALA'ya ve kabul edilen her müttefike sadakat, özen, açıklama; uyum ve pazara hazırlık sorumluluğu</w:t>
            </w:r>
          </w:p>
        </w:tc>
        <w:tc>
          <w:tcPr>
            <w:tcW w:type="dxa" w:w="230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Yönetişim (dar)</w:t>
            </w:r>
          </w:p>
        </w:tc>
        <w:tc>
          <w:tcPr>
            <w:tcW w:type="dxa" w:w="647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Tüzel kişilik tasarımı ve yargı yeri; tesciller; kabul standardı; yalnızca yapısal ve uyum konularında veto</w:t>
            </w:r>
          </w:p>
        </w:tc>
        <w:tc>
          <w:tcPr>
            <w:tcW w:type="dxa" w:w="230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Ticari, marka ve işletme kararları</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Emanet</w:t>
            </w:r>
          </w:p>
        </w:tc>
        <w:tc>
          <w:tcPr>
            <w:tcW w:type="dxa" w:w="647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Tüm müttefik taahhütlerinin emanetçisi</w:t>
            </w:r>
          </w:p>
        </w:tc>
        <w:tc>
          <w:tcPr>
            <w:tcW w:type="dxa" w:w="230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Taahhüt edilen fonların intifa hakkı</w:t>
            </w:r>
          </w:p>
        </w:tc>
      </w:tr>
    </w:tbl>
    <w:p>
      <w:pPr>
        <w:spacing w:after="120"/>
      </w:pPr>
    </w:p>
    <w:p>
      <w:pPr>
        <w:spacing w:after="140" w:line="300"/>
      </w:pPr>
      <w:r>
        <w:rPr>
          <w:i w:val="false"/>
          <w:iCs w:val="false"/>
        </w:rPr>
        <w:t xml:space="preserve">Hukuk Müttefiki danışmanlık ve mimariyle sınırlıdır; her karşı taraf ve yatırımcı ilişkisi kişisel olarak kurucu tarafından tutulur. Yatırımcılar için bu iki kez önemlidir: katılım bedelleri Hukuk Müttefiki'nin kontrolündeki bir emanetten geçer ve sermayenin bağlı olduğu kabul standardı parayı toplayan taraf değil bir vekil tarafından çizilir. Pozisyon 08, Hukuk Müttefiki'ne dört taslak maddesi verir: Sahne Erişimi açıklama taahhüdü ve askıya alma maddesi, kamera bölgelemesi ve tesadüfi kayıt rızası, üyelik şartlarındaki danışmanlık sorumluluğu maddesi ve pazar katında reşit olmayanların bulunması.</w:t>
      </w:r>
    </w:p>
    <w:p>
      <w:r>
        <w:br w:type="page"/>
      </w:r>
    </w:p>
    <w:p>
      <w:pPr>
        <w:pStyle w:val="Heading1"/>
      </w:pPr>
      <w:r>
        <w:rPr>
          <w:color w:val="0F5F5C"/>
        </w:rPr>
        <w:t xml:space="preserve">8 </w:t>
      </w:r>
      <w:r>
        <w:t xml:space="preserve">Kuruluş Turu</w:t>
      </w:r>
    </w:p>
    <w:p>
      <w:pPr>
        <w:pStyle w:val="Heading2"/>
      </w:pPr>
      <w:r>
        <w:rPr>
          <w:i w:val="false"/>
          <w:iCs w:val="false"/>
        </w:rPr>
        <w:t xml:space="preserve">8.1 Bir bakışta şartlar — gösterge; Hukuk Müttefiki ile kesinleşecek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8780"/>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Madde</w:t>
            </w:r>
          </w:p>
        </w:tc>
        <w:tc>
          <w:tcPr>
            <w:tcW w:type="dxa" w:w="87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Gösterge konum</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Büyüklük</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~8M $, iki tranş</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Yapı</w:t>
            </w:r>
          </w:p>
        </w:tc>
        <w:tc>
          <w:tcPr>
            <w:tcW w:type="dxa" w:w="8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Doğrulanmış akredite katılımcılar için özel plasman; Ölçek fazında daha geniş nitelikli arza giden yol aynı belgelerde hazırlanır</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Araç</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PoC için tek OpCo LLC; PropCo / OpCo-TRS / MemberCo ve PEIT™ tasarımı üçüncü mekân ve ilk kurumsal PropCo ortağı için hazır tutulur</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İttifak bölüşümü (C+C+C referansı)</w:t>
            </w:r>
          </w:p>
        </w:tc>
        <w:tc>
          <w:tcPr>
            <w:tcW w:type="dxa" w:w="8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ALA 40 / yatırımcı 40 / mülk sahibi 20; IP, marka ve üye verisi üzerinde ALA altın hissesi</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Yatırımcı korumaları</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 Müttefiki emanetinde tutulan fonlar; tranş kapıları; bilgi hakları; uyum politikası açıklaması; raporlama standardı olarak kanonik sayılar sayfası; işletme standardı olarak üyelik sağlık panosu</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Halihazırda mevcut</w:t>
            </w:r>
          </w:p>
        </w:tc>
        <w:tc>
          <w:tcPr>
            <w:tcW w:type="dxa" w:w="8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Marka ve IP (altı marka), dört sistem, Qumbet üretim mirası, yayımlanmış pazar ve müttefik araştırmaları, taahhüt vermiş bir yatırımcı ortak</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Turun satın aldığı</w:t>
            </w:r>
          </w:p>
        </w:tc>
        <w:tc>
          <w:tcPr>
            <w:tcW w:type="dxa" w:w="8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 konsept kanıtı mekânı ve on iki ayda ölçülmüş bir RevPAM rakamı</w:t>
            </w:r>
          </w:p>
        </w:tc>
      </w:tr>
    </w:tbl>
    <w:p>
      <w:pPr>
        <w:spacing w:after="120"/>
      </w:pPr>
    </w:p>
    <w:p>
      <w:pPr>
        <w:spacing w:after="140" w:line="300"/>
      </w:pPr>
      <w:r>
        <w:rPr>
          <w:b/>
          <w:bCs/>
          <w:i w:val="false"/>
          <w:iCs w:val="false"/>
          <w:color w:val="8A5A12"/>
          <w:shd w:fill="F6ECD7" w:val="clear"/>
        </w:rPr>
        <w:t xml:space="preserve">[Konsey karar verir]</w:t>
      </w:r>
      <w:r>
        <w:rPr>
          <w:i w:val="false"/>
          <w:iCs w:val="false"/>
        </w:rPr>
        <w:t xml:space="preserve">: tam enstrüman, değerleme esası ve taahhüt vermiş yatırımcı ortağın birinci tranş lideri olup olmayacağı.</w:t>
      </w:r>
    </w:p>
    <w:p>
      <w:pPr>
        <w:pStyle w:val="Heading2"/>
      </w:pPr>
      <w:r>
        <w:rPr>
          <w:i w:val="false"/>
          <w:iCs w:val="false"/>
        </w:rPr>
        <w:t xml:space="preserve">8.2 İki tranş, tek kapı</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1300"/>
        <w:gridCol w:w="5056"/>
        <w:gridCol w:w="2424"/>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Tranş</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Gösterge büyüklük</w:t>
            </w:r>
          </w:p>
        </w:tc>
        <w:tc>
          <w:tcPr>
            <w:tcW w:type="dxa" w:w="505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Fonlar</w:t>
            </w:r>
          </w:p>
        </w:tc>
        <w:tc>
          <w:tcPr>
            <w:tcW w:type="dxa" w:w="242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Serbest bırakma koşulu</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T1 — Kuruluş</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~3M $</w:t>
            </w:r>
          </w:p>
        </w:tc>
        <w:tc>
          <w:tcPr>
            <w:tcW w:type="dxa" w:w="505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 Müttefiki angajmanı ve tüzel yapı; kanonik sayılar; hukuki görüşler (marka, çocuk verisi, danışmanlık sorumluluğu); mülk sahibi LOI; anchor ve ray LOI'leri; sponsor Basamak 0; fikstür pilotu; egemen ray canlı; üyelik şartları ve fiyat kararı</w:t>
            </w:r>
          </w:p>
        </w:tc>
        <w:tc>
          <w:tcPr>
            <w:tcW w:type="dxa" w:w="242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Katılımın emanete kapanışı</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T2 — Venue-0</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~5M $</w:t>
            </w:r>
          </w:p>
        </w:tc>
        <w:tc>
          <w:tcPr>
            <w:tcW w:type="dxa" w:w="505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Üretim müttefiki ile iç donanım; PoC kapsamında dört sistem; Sahne programı ve talep motoru; açılış; on iki ay işletme ve ölçüm</w:t>
            </w:r>
          </w:p>
        </w:tc>
        <w:tc>
          <w:tcPr>
            <w:tcW w:type="dxa" w:w="242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İmzalı mülk sahibi anlaşması; ≥ 2 ray LOI; market anchor LOI; sponsor Basamak 0 LOI; hukuki görüşler teslim; kanonik sayılar onaylı; Master fiyatı kararlaştırılmış</w:t>
            </w:r>
          </w:p>
        </w:tc>
      </w:tr>
    </w:tbl>
    <w:p>
      <w:pPr>
        <w:spacing w:after="120"/>
      </w:pPr>
    </w:p>
    <w:p>
      <w:pPr>
        <w:pStyle w:val="Heading2"/>
      </w:pPr>
      <w:r>
        <w:rPr>
          <w:i w:val="false"/>
          <w:iCs w:val="false"/>
        </w:rPr>
        <w:t xml:space="preserve">8.3 Fon kullanımı — Konsey için gösterge dağılım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780"/>
        <w:gridCol w:w="880"/>
        <w:gridCol w:w="5420"/>
      </w:tblGrid>
      <w:tr>
        <w:trPr>
          <w:cantSplit/>
          <w:tblHeader/>
        </w:trPr>
        <w:tc>
          <w:tcPr>
            <w:tcW w:type="dxa" w:w="37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Kalem</w:t>
            </w:r>
          </w:p>
        </w:tc>
        <w:tc>
          <w:tcPr>
            <w:tcW w:type="dxa" w:w="88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right"/>
            </w:pPr>
            <w:r>
              <w:rPr>
                <w:rFonts w:ascii="Calibri" w:cs="Calibri" w:eastAsia="Calibri" w:hAnsi="Calibri"/>
                <w:b/>
                <w:bCs/>
                <w:i w:val="false"/>
                <w:iCs w:val="false"/>
                <w:color w:val="FFFFFF"/>
                <w:sz w:val="18"/>
                <w:szCs w:val="18"/>
              </w:rPr>
              <w:t xml:space="preserve">Pay</w:t>
            </w:r>
          </w:p>
        </w:tc>
        <w:tc>
          <w:tcPr>
            <w:tcW w:type="dxa" w:w="542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Not</w:t>
            </w:r>
          </w:p>
        </w:tc>
      </w:tr>
      <w:tr>
        <w:trPr>
          <w:cantSplit/>
          <w:tblHeader w:val="false"/>
        </w:trPr>
        <w:tc>
          <w:tcPr>
            <w:tcW w:type="dxa" w:w="3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Venue-0 iç donanım ve Phygital Elements</w:t>
            </w:r>
          </w:p>
        </w:tc>
        <w:tc>
          <w:tcPr>
            <w:tcW w:type="dxa" w:w="8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%35–40</w:t>
            </w:r>
          </w:p>
        </w:tc>
        <w:tc>
          <w:tcPr>
            <w:tcW w:type="dxa" w:w="542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ayni kitiyle azalır: şarj plazası, ekran donanımı, lounge donanımı</w:t>
            </w:r>
          </w:p>
        </w:tc>
      </w:tr>
      <w:tr>
        <w:trPr>
          <w:cantSplit/>
          <w:tblHeader w:val="false"/>
        </w:trPr>
        <w:tc>
          <w:tcPr>
            <w:tcW w:type="dxa" w:w="3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PoC kapsamında dört sistem + SSP sertifikasyonu</w:t>
            </w:r>
          </w:p>
        </w:tc>
        <w:tc>
          <w:tcPr>
            <w:tcW w:type="dxa" w:w="8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%12–15</w:t>
            </w:r>
          </w:p>
        </w:tc>
        <w:tc>
          <w:tcPr>
            <w:tcW w:type="dxa" w:w="542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Sertifikasyon entegrasyondan ayrı bütçelenir</w:t>
            </w:r>
          </w:p>
        </w:tc>
      </w:tr>
      <w:tr>
        <w:trPr>
          <w:cantSplit/>
          <w:tblHeader w:val="false"/>
        </w:trPr>
        <w:tc>
          <w:tcPr>
            <w:tcW w:type="dxa" w:w="3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Talep motoru: Sahne programı, anchor ve üretici trafiği, lansman</w:t>
            </w:r>
          </w:p>
        </w:tc>
        <w:tc>
          <w:tcPr>
            <w:tcW w:type="dxa" w:w="8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%12–15</w:t>
            </w:r>
          </w:p>
        </w:tc>
        <w:tc>
          <w:tcPr>
            <w:tcW w:type="dxa" w:w="542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Orijinal P&amp;L'de eksik olan sekizinci hat</w:t>
            </w:r>
          </w:p>
        </w:tc>
      </w:tr>
      <w:tr>
        <w:trPr>
          <w:cantSplit/>
          <w:tblHeader w:val="false"/>
        </w:trPr>
        <w:tc>
          <w:tcPr>
            <w:tcW w:type="dxa" w:w="3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 yapılandırma, görüşler, emanet, uyum</w:t>
            </w:r>
          </w:p>
        </w:tc>
        <w:tc>
          <w:tcPr>
            <w:tcW w:type="dxa" w:w="8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%8–10</w:t>
            </w:r>
          </w:p>
        </w:tc>
        <w:tc>
          <w:tcPr>
            <w:tcW w:type="dxa" w:w="542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 Müttefiki ekonomisi hissedir; bu kalem üçüncü taraf ve dosyalama maliyetlerini karşılar</w:t>
            </w:r>
          </w:p>
        </w:tc>
      </w:tr>
      <w:tr>
        <w:trPr>
          <w:cantSplit/>
          <w:tblHeader w:val="false"/>
        </w:trPr>
        <w:tc>
          <w:tcPr>
            <w:tcW w:type="dxa" w:w="37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İşletme sermayesi ve ilk kayıp rezervi</w:t>
            </w:r>
          </w:p>
        </w:tc>
        <w:tc>
          <w:tcPr>
            <w:tcW w:type="dxa" w:w="88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%12–15</w:t>
            </w:r>
          </w:p>
        </w:tc>
        <w:tc>
          <w:tcPr>
            <w:tcW w:type="dxa" w:w="542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Mülk sahibi taban garantisi altındaki rampa yıllarını karşılar</w:t>
            </w:r>
          </w:p>
        </w:tc>
      </w:tr>
      <w:tr>
        <w:trPr>
          <w:cantSplit/>
          <w:tblHeader w:val="false"/>
        </w:trPr>
        <w:tc>
          <w:tcPr>
            <w:tcW w:type="dxa" w:w="37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Mekân ekibi (10–15) ve G&amp;A</w:t>
            </w:r>
          </w:p>
        </w:tc>
        <w:tc>
          <w:tcPr>
            <w:tcW w:type="dxa" w:w="88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right"/>
            </w:pPr>
            <w:r>
              <w:rPr>
                <w:rFonts w:ascii="Calibri" w:cs="Calibri" w:eastAsia="Calibri" w:hAnsi="Calibri"/>
                <w:b w:val="false"/>
                <w:bCs w:val="false"/>
                <w:i w:val="false"/>
                <w:iCs w:val="false"/>
                <w:color w:val="1B2530"/>
                <w:sz w:val="18"/>
                <w:szCs w:val="18"/>
              </w:rPr>
              <w:t xml:space="preserve">%10–12</w:t>
            </w:r>
          </w:p>
        </w:tc>
        <w:tc>
          <w:tcPr>
            <w:tcW w:type="dxa" w:w="542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Tasarım gereği yalın: 0,50 $/sqft/ay bina işletme gideri</w:t>
            </w:r>
          </w:p>
        </w:tc>
      </w:tr>
    </w:tbl>
    <w:p>
      <w:pPr>
        <w:spacing w:after="120"/>
      </w:pPr>
    </w:p>
    <w:p>
      <w:pPr>
        <w:pStyle w:val="Heading2"/>
      </w:pPr>
      <w:r>
        <w:rPr>
          <w:i w:val="false"/>
          <w:iCs w:val="false"/>
        </w:rPr>
        <w:t xml:space="preserve">8.4 Paranın kullanılmayacağı yerler</w:t>
      </w:r>
    </w:p>
    <w:p>
      <w:pPr>
        <w:pStyle w:val="ListParagraph"/>
        <w:numPr>
          <w:ilvl w:val="0"/>
          <w:numId w:val="3"/>
        </w:numPr>
        <w:spacing w:after="80" w:line="290"/>
      </w:pPr>
      <w:r>
        <w:rPr>
          <w:i w:val="false"/>
          <w:iCs w:val="false"/>
        </w:rPr>
        <w:t xml:space="preserve">Fabrika satın alması (~50M $) — yalnızca ikinci mekânın siparişiyle.</w:t>
      </w:r>
    </w:p>
    <w:p>
      <w:pPr>
        <w:pStyle w:val="ListParagraph"/>
        <w:numPr>
          <w:ilvl w:val="0"/>
          <w:numId w:val="3"/>
        </w:numPr>
        <w:spacing w:after="80" w:line="290"/>
      </w:pPr>
      <w:r>
        <w:rPr>
          <w:i w:val="false"/>
          <w:iCs w:val="false"/>
        </w:rPr>
        <w:t xml:space="preserve">PEIT / REIT yapısı — ölçek fazı.</w:t>
      </w:r>
    </w:p>
    <w:p>
      <w:pPr>
        <w:pStyle w:val="ListParagraph"/>
        <w:numPr>
          <w:ilvl w:val="0"/>
          <w:numId w:val="3"/>
        </w:numPr>
        <w:spacing w:after="80" w:line="290"/>
      </w:pPr>
      <w:r>
        <w:rPr>
          <w:i w:val="false"/>
          <w:iCs w:val="false"/>
        </w:rPr>
        <w:t xml:space="preserve">İkinci lokasyon — dört çeyrek veri olmadan asla.</w:t>
      </w:r>
    </w:p>
    <w:p>
      <w:pPr>
        <w:pStyle w:val="ListParagraph"/>
        <w:numPr>
          <w:ilvl w:val="0"/>
          <w:numId w:val="3"/>
        </w:numPr>
        <w:spacing w:after="80" w:line="290"/>
      </w:pPr>
      <w:r>
        <w:rPr>
          <w:i w:val="false"/>
          <w:iCs w:val="false"/>
        </w:rPr>
        <w:t xml:space="preserve">Kaybedilen bir anchor'ın yerine kendi market işletmesi — ayrı bir şirkettir (soğuk zincir, fire, satın alma gücü, lisans); ayrı müzakere önerilir.</w:t>
      </w:r>
    </w:p>
    <w:p>
      <w:pPr>
        <w:pStyle w:val="ListParagraph"/>
        <w:numPr>
          <w:ilvl w:val="0"/>
          <w:numId w:val="3"/>
        </w:numPr>
        <w:spacing w:after="80" w:line="290"/>
      </w:pPr>
      <w:r>
        <w:rPr>
          <w:i w:val="false"/>
          <w:iCs w:val="false"/>
        </w:rPr>
        <w:t xml:space="preserve">Ultra hızlı moda kiracıları, indirimli üretici kademeleri, dijital ikizler, ışınlanma.</w:t>
      </w:r>
    </w:p>
    <w:p>
      <w:r>
        <w:br w:type="page"/>
      </w:r>
    </w:p>
    <w:p>
      <w:pPr>
        <w:pStyle w:val="Heading1"/>
      </w:pPr>
      <w:r>
        <w:rPr>
          <w:color w:val="0F5F5C"/>
        </w:rPr>
        <w:t xml:space="preserve">9 </w:t>
      </w:r>
      <w:r>
        <w:t xml:space="preserve">Sıralama playbook'u — kim ne zaman imzalar</w:t>
      </w:r>
    </w:p>
    <w:p>
      <w:pPr>
        <w:spacing w:after="140" w:line="300"/>
      </w:pPr>
      <w:r>
        <w:rPr>
          <w:i w:val="false"/>
          <w:iCs w:val="false"/>
        </w:rPr>
        <w:t xml:space="preserve">İsim sponsoru trafik satın alır; anchor'lar ve altyapı trafiği yaratır; Hukuk Müttefiki hepsini ABD hukukuna uygun kılar. Kapı en sona gelir.</w:t>
      </w:r>
    </w:p>
    <w:p>
      <w:pPr>
        <w:pStyle w:val="Heading2"/>
      </w:pPr>
      <w:r>
        <w:rPr>
          <w:i w:val="false"/>
          <w:iCs w:val="false"/>
        </w:rPr>
        <w:t xml:space="preserve">Faz 0 — Omurga (T1, 0–3. ay)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60"/>
        <w:gridCol w:w="7186"/>
        <w:gridCol w:w="2234"/>
      </w:tblGrid>
      <w:tr>
        <w:trPr>
          <w:cantSplit/>
          <w:tblHeader/>
        </w:trPr>
        <w:tc>
          <w:tcPr>
            <w:tcW w:type="dxa" w:w="6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Adım</w:t>
            </w:r>
          </w:p>
        </w:tc>
        <w:tc>
          <w:tcPr>
            <w:tcW w:type="dxa" w:w="718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Eylem</w:t>
            </w:r>
          </w:p>
        </w:tc>
        <w:tc>
          <w:tcPr>
            <w:tcW w:type="dxa" w:w="223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Çıktı</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0.1</w:t>
            </w:r>
          </w:p>
        </w:tc>
        <w:tc>
          <w:tcPr>
            <w:tcW w:type="dxa" w:w="71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Beş aday firmayla doğrudan görüşme; birinci sıradaki firmaya Vekâlet Mandası'nın sunulması</w:t>
            </w:r>
          </w:p>
        </w:tc>
        <w:tc>
          <w:tcPr>
            <w:tcW w:type="dxa" w:w="223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Manda şartlarıyla Hukuk Müttefiki angaje</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0.2</w:t>
            </w:r>
          </w:p>
        </w:tc>
        <w:tc>
          <w:tcPr>
            <w:tcW w:type="dxa" w:w="71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 Müttefiki huniyi çizer: her pozisyon için kabul standardı ve belge seti; tüzel yapı; emanet</w:t>
            </w:r>
          </w:p>
        </w:tc>
        <w:tc>
          <w:tcPr>
            <w:tcW w:type="dxa" w:w="223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Huni canlı; katılımlar emanete</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0.3</w:t>
            </w:r>
          </w:p>
        </w:tc>
        <w:tc>
          <w:tcPr>
            <w:tcW w:type="dxa" w:w="718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Hukuki görüşler: "5th Wall" markası; çocuk verisi (COPPA / CCPA-CPRA); üyelik şartlarında danışmanlık sorumluluğu</w:t>
            </w:r>
          </w:p>
        </w:tc>
        <w:tc>
          <w:tcPr>
            <w:tcW w:type="dxa" w:w="223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Yazılı görüşler — PoC ön koşulları</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0.4</w:t>
            </w:r>
          </w:p>
        </w:tc>
        <w:tc>
          <w:tcPr>
            <w:tcW w:type="dxa" w:w="718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Tek sahipli kanonik sayılar sayfası; Pozisyon 08 kararları (Master fiyatı, Arcade çapası, Emeritus finansmanı, kamera bölgelemesi, ret, yeniden adlandırma)</w:t>
            </w:r>
          </w:p>
        </w:tc>
        <w:tc>
          <w:tcPr>
            <w:tcW w:type="dxa" w:w="223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Tek sayı seti; üyelik şartları taslağı</w:t>
            </w:r>
          </w:p>
        </w:tc>
      </w:tr>
    </w:tbl>
    <w:p>
      <w:pPr>
        <w:spacing w:after="120"/>
      </w:pPr>
    </w:p>
    <w:p>
      <w:pPr>
        <w:pStyle w:val="Heading2"/>
      </w:pPr>
      <w:r>
        <w:rPr>
          <w:i w:val="false"/>
          <w:iCs w:val="false"/>
        </w:rPr>
        <w:t xml:space="preserve">Faz 1 — Zemin ve trafik (T1, 1–4. ay)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60"/>
        <w:gridCol w:w="6717"/>
        <w:gridCol w:w="2703"/>
      </w:tblGrid>
      <w:tr>
        <w:trPr>
          <w:cantSplit/>
          <w:tblHeader/>
        </w:trPr>
        <w:tc>
          <w:tcPr>
            <w:tcW w:type="dxa" w:w="6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Adım</w:t>
            </w:r>
          </w:p>
        </w:tc>
        <w:tc>
          <w:tcPr>
            <w:tcW w:type="dxa" w:w="671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Eylem</w:t>
            </w:r>
          </w:p>
        </w:tc>
        <w:tc>
          <w:tcPr>
            <w:tcW w:type="dxa" w:w="2703"/>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Çıktı</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1.1</w:t>
            </w:r>
          </w:p>
        </w:tc>
        <w:tc>
          <w:tcPr>
            <w:tcW w:type="dxa" w:w="671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Saha dosyası; iki hatlı lokasyon taraması (Trader Joe's ayak izi eyaletleri / Z kuşağı yoğunluğu)</w:t>
            </w:r>
          </w:p>
        </w:tc>
        <w:tc>
          <w:tcPr>
            <w:tcW w:type="dxa" w:w="27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geçiş metro havuzundan PoC saha kısa listesi</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1.2</w:t>
            </w:r>
          </w:p>
        </w:tc>
        <w:tc>
          <w:tcPr>
            <w:tcW w:type="dxa" w:w="671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Mülk sahibi müzakeresi: kira yerine %20 hisse; yedek olarak taban garantili yönetim / gelir paylaşımı</w:t>
            </w:r>
          </w:p>
        </w:tc>
        <w:tc>
          <w:tcPr>
            <w:tcW w:type="dxa" w:w="27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İmzalı mülk sahibi anlaşması — T2 kapısı</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1.3</w:t>
            </w:r>
          </w:p>
        </w:tc>
        <w:tc>
          <w:tcPr>
            <w:tcW w:type="dxa" w:w="671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Perakende broker atanması; market anchor'ı (Trader Joe's; Sprouts / Aldi / H Mart yedekleri)</w:t>
            </w:r>
          </w:p>
        </w:tc>
        <w:tc>
          <w:tcPr>
            <w:tcW w:type="dxa" w:w="27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 LOI — T2 kapısı</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1.4</w:t>
            </w:r>
          </w:p>
        </w:tc>
        <w:tc>
          <w:tcPr>
            <w:tcW w:type="dxa" w:w="671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Şarj istasyonu ev sahipliği başvuruları (Tesla / Mercedes HPC / Rivian)</w:t>
            </w:r>
          </w:p>
        </w:tc>
        <w:tc>
          <w:tcPr>
            <w:tcW w:type="dxa" w:w="27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Sıfır CapEx trafik motoru olarak otopark</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1.5</w:t>
            </w:r>
          </w:p>
        </w:tc>
        <w:tc>
          <w:tcPr>
            <w:tcW w:type="dxa" w:w="671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Ray dalgası 1: Etsy / Faire, Depop ya da StockX, MakerWorld / Bambu Lab, Jellycat; bir ekran ortağı</w:t>
            </w:r>
          </w:p>
        </w:tc>
        <w:tc>
          <w:tcPr>
            <w:tcW w:type="dxa" w:w="2703"/>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2 ray LOI, 2 Cup League anchor'ı — T2 kapısı</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1.6</w:t>
            </w:r>
          </w:p>
        </w:tc>
        <w:tc>
          <w:tcPr>
            <w:tcW w:type="dxa" w:w="671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Hunideki anchor ve markalara Kurumsal kademe teklifi: tahsisli Arcade koltukları + Emeritus oturumları</w:t>
            </w:r>
          </w:p>
        </w:tc>
        <w:tc>
          <w:tcPr>
            <w:tcW w:type="dxa" w:w="2703"/>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Kurumsal koltuk taahhütleri</w:t>
            </w:r>
          </w:p>
        </w:tc>
      </w:tr>
    </w:tbl>
    <w:p>
      <w:pPr>
        <w:spacing w:after="120"/>
      </w:pPr>
    </w:p>
    <w:p>
      <w:pPr>
        <w:pStyle w:val="Heading2"/>
      </w:pPr>
      <w:r>
        <w:rPr>
          <w:i w:val="false"/>
          <w:iCs w:val="false"/>
        </w:rPr>
        <w:t xml:space="preserve">Faz 2 — Kapı ve medya (T1 → T2, 3–6. ay)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60"/>
        <w:gridCol w:w="7306"/>
        <w:gridCol w:w="2114"/>
      </w:tblGrid>
      <w:tr>
        <w:trPr>
          <w:cantSplit/>
          <w:tblHeader/>
        </w:trPr>
        <w:tc>
          <w:tcPr>
            <w:tcW w:type="dxa" w:w="6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Adım</w:t>
            </w:r>
          </w:p>
        </w:tc>
        <w:tc>
          <w:tcPr>
            <w:tcW w:type="dxa" w:w="730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Eylem</w:t>
            </w:r>
          </w:p>
        </w:tc>
        <w:tc>
          <w:tcPr>
            <w:tcW w:type="dxa" w:w="211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Çıktı</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2.1</w:t>
            </w:r>
          </w:p>
        </w:tc>
        <w:tc>
          <w:tcPr>
            <w:tcW w:type="dxa" w:w="730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İçecek servis hakları; mağaza içi mağaza köşesi</w:t>
            </w:r>
          </w:p>
        </w:tc>
        <w:tc>
          <w:tcPr>
            <w:tcW w:type="dxa" w:w="21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nakit kategori anlaşması</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2.2</w:t>
            </w:r>
          </w:p>
        </w:tc>
        <w:tc>
          <w:tcPr>
            <w:tcW w:type="dxa" w:w="730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Kia America / Hyundai Motor Group'a Sponsor Basamak 0, Toyota alternatif: ayni kit + aktivasyon bütçesi + ROFR; Rivian için isim-vs-showroom istisnası</w:t>
            </w:r>
          </w:p>
        </w:tc>
        <w:tc>
          <w:tcPr>
            <w:tcW w:type="dxa" w:w="21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Kapı LOI — T2 kapısı</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2.3</w:t>
            </w:r>
          </w:p>
        </w:tc>
        <w:tc>
          <w:tcPr>
            <w:tcW w:type="dxa" w:w="730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Faire derin ittifak hattı (ticari taban; pilot kohort sonrası hisse opsiyonu)</w:t>
            </w:r>
          </w:p>
        </w:tc>
        <w:tc>
          <w:tcPr>
            <w:tcW w:type="dxa" w:w="211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Kapı 2 term sheet</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2.4</w:t>
            </w:r>
          </w:p>
        </w:tc>
        <w:tc>
          <w:tcPr>
            <w:tcW w:type="dxa" w:w="730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Üç kademeli marka uyum politikası ve çakışma listesi; Sahne Erişimi sözleşme şablonu</w:t>
            </w:r>
          </w:p>
        </w:tc>
        <w:tc>
          <w:tcPr>
            <w:tcW w:type="dxa" w:w="211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Huni belgelerinde yazılı politikalar</w:t>
            </w:r>
          </w:p>
        </w:tc>
      </w:tr>
    </w:tbl>
    <w:p>
      <w:pPr>
        <w:spacing w:after="120"/>
      </w:pPr>
    </w:p>
    <w:p>
      <w:pPr>
        <w:pStyle w:val="Heading2"/>
      </w:pPr>
      <w:r>
        <w:rPr>
          <w:i w:val="false"/>
          <w:iCs w:val="false"/>
        </w:rPr>
        <w:t xml:space="preserve">Faz 3 — Venue-0 (T2, açılışa kadar 6–12. ay)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60"/>
        <w:gridCol w:w="6946"/>
        <w:gridCol w:w="2474"/>
      </w:tblGrid>
      <w:tr>
        <w:trPr>
          <w:cantSplit/>
          <w:tblHeader/>
        </w:trPr>
        <w:tc>
          <w:tcPr>
            <w:tcW w:type="dxa" w:w="66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Adım</w:t>
            </w:r>
          </w:p>
        </w:tc>
        <w:tc>
          <w:tcPr>
            <w:tcW w:type="dxa" w:w="694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Eylem</w:t>
            </w:r>
          </w:p>
        </w:tc>
        <w:tc>
          <w:tcPr>
            <w:tcW w:type="dxa" w:w="2474"/>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Çıktı</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3.1</w:t>
            </w:r>
          </w:p>
        </w:tc>
        <w:tc>
          <w:tcPr>
            <w:tcW w:type="dxa" w:w="694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Üretim müttefiki ile iç donanım; Phygital Elements kurulumu; sponsor kiti teslim; kamera bölgeleri ilan; Arcade'in Emeritus oturum katından fiziksel ayrımı</w:t>
            </w:r>
          </w:p>
        </w:tc>
        <w:tc>
          <w:tcPr>
            <w:tcW w:type="dxa" w:w="247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Açılışa hazır kat</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3.2</w:t>
            </w:r>
          </w:p>
        </w:tc>
        <w:tc>
          <w:tcPr>
            <w:tcW w:type="dxa" w:w="694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Egemen ray (OffNdOn) açılıştan sekiz hafta önce canlı; Misafir kayıt araçları (dolap, iade, ikiz teslim) canlı</w:t>
            </w:r>
          </w:p>
        </w:tc>
        <w:tc>
          <w:tcPr>
            <w:tcW w:type="dxa" w:w="247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Rezervasyon ve kayıt akışları uçtan uca test edilmiş</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3.3</w:t>
            </w:r>
          </w:p>
        </w:tc>
        <w:tc>
          <w:tcPr>
            <w:tcW w:type="dxa" w:w="694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PoC kapsamında dört sistem; açılışta çalışmayan her sistem için yazılı manuel yedek</w:t>
            </w:r>
          </w:p>
        </w:tc>
        <w:tc>
          <w:tcPr>
            <w:tcW w:type="dxa" w:w="247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90 gün yedeksiz hedefi</w:t>
            </w:r>
          </w:p>
        </w:tc>
      </w:tr>
      <w:tr>
        <w:trPr>
          <w:cantSplit/>
          <w:tblHeader w:val="false"/>
        </w:trPr>
        <w:tc>
          <w:tcPr>
            <w:tcW w:type="dxa" w:w="66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3.4</w:t>
            </w:r>
          </w:p>
        </w:tc>
        <w:tc>
          <w:tcPr>
            <w:tcW w:type="dxa" w:w="694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Sahne program takvimi ve bütçesi (brütün %6–8'i); Emeritus elemesi ve ilk oturum programı</w:t>
            </w:r>
          </w:p>
        </w:tc>
        <w:tc>
          <w:tcPr>
            <w:tcW w:type="dxa" w:w="2474"/>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Talep motoru fonlanmış; öğretim kadrosu oturmuş</w:t>
            </w:r>
          </w:p>
        </w:tc>
      </w:tr>
      <w:tr>
        <w:trPr>
          <w:cantSplit/>
          <w:tblHeader w:val="false"/>
        </w:trPr>
        <w:tc>
          <w:tcPr>
            <w:tcW w:type="dxa" w:w="66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3.5</w:t>
            </w:r>
          </w:p>
        </w:tc>
        <w:tc>
          <w:tcPr>
            <w:tcW w:type="dxa" w:w="694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günden üçüncü taraf ayak sayımı ve ekran raporlaması; üyelik panosu canlı</w:t>
            </w:r>
          </w:p>
        </w:tc>
        <w:tc>
          <w:tcPr>
            <w:tcW w:type="dxa" w:w="2474"/>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eşikleri ve üyelik sağlığı ölçülebilir</w:t>
            </w:r>
          </w:p>
        </w:tc>
      </w:tr>
    </w:tbl>
    <w:p>
      <w:pPr>
        <w:spacing w:after="120"/>
      </w:pPr>
    </w:p>
    <w:p>
      <w:pPr>
        <w:pStyle w:val="Heading2"/>
      </w:pPr>
      <w:r>
        <w:rPr>
          <w:i w:val="false"/>
          <w:iCs w:val="false"/>
        </w:rPr>
        <w:t xml:space="preserve">Faz 4 — Kanıt yılı (V0 → V0 + 12)</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5475"/>
        <w:gridCol w:w="3305"/>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Pencere</w:t>
            </w:r>
          </w:p>
        </w:tc>
        <w:tc>
          <w:tcPr>
            <w:tcW w:type="dxa" w:w="547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Eylem</w:t>
            </w:r>
          </w:p>
        </w:tc>
        <w:tc>
          <w:tcPr>
            <w:tcW w:type="dxa" w:w="330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Enstrüman</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 +6 hafta</w:t>
            </w:r>
          </w:p>
        </w:tc>
        <w:tc>
          <w:tcPr>
            <w:tcW w:type="dxa" w:w="547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PingPod DOOH SSP'lerinde listelenir (Vistar, Place Exchange, Broadsign)</w:t>
            </w:r>
          </w:p>
        </w:tc>
        <w:tc>
          <w:tcPr>
            <w:tcW w:type="dxa" w:w="330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Rezerve edilebilir ekran saatleri, doluluk, eCPM</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 +90 gün</w:t>
            </w:r>
          </w:p>
        </w:tc>
        <w:tc>
          <w:tcPr>
            <w:tcW w:type="dxa" w:w="547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doksan günlük aktivasyon kohortu olgunlaşır</w:t>
            </w:r>
          </w:p>
        </w:tc>
        <w:tc>
          <w:tcPr>
            <w:tcW w:type="dxa" w:w="330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Misafir → Master dönüşümü; 90 gün aktivasyon ≥ %70</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 +2 çeyrek</w:t>
            </w:r>
          </w:p>
        </w:tc>
        <w:tc>
          <w:tcPr>
            <w:tcW w:type="dxa" w:w="547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Ölçüm sertifikasyonu</w:t>
            </w:r>
          </w:p>
        </w:tc>
        <w:tc>
          <w:tcPr>
            <w:tcW w:type="dxa" w:w="330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DSP talebi açılır</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+1 → +2 çeyrek</w:t>
            </w:r>
          </w:p>
        </w:tc>
        <w:tc>
          <w:tcPr>
            <w:tcW w:type="dxa" w:w="547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100 Cup League markasıyla Faire pilot kohortu</w:t>
            </w:r>
          </w:p>
        </w:tc>
        <w:tc>
          <w:tcPr>
            <w:tcW w:type="dxa" w:w="330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Faire → Atmosphere dönüşümleri</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+2 → +3 çeyrek</w:t>
            </w:r>
          </w:p>
        </w:tc>
        <w:tc>
          <w:tcPr>
            <w:tcW w:type="dxa" w:w="547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Shopify "Atmosphere Physical Channel" uygulaması; kapalı döngü fiziksel ROAS</w:t>
            </w:r>
          </w:p>
        </w:tc>
        <w:tc>
          <w:tcPr>
            <w:tcW w:type="dxa" w:w="330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Kurulumlar, aktif kampanyalar, ARPU</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 V0 +4 çeyrek</w:t>
            </w:r>
          </w:p>
        </w:tc>
        <w:tc>
          <w:tcPr>
            <w:tcW w:type="dxa" w:w="547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Aynı tarifeyle Sertifikalı Ortak programı; sponsor Basamak 1 nakit eşikleri devreye girer</w:t>
            </w:r>
          </w:p>
        </w:tc>
        <w:tc>
          <w:tcPr>
            <w:tcW w:type="dxa" w:w="330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Kayıtlar; ray yoğunlaşması ≤ üçte bir</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V0 +12</w:t>
            </w:r>
          </w:p>
        </w:tc>
        <w:tc>
          <w:tcPr>
            <w:tcW w:type="dxa" w:w="547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Üç ölçekte ölçülmüş RevPAM; kıdemli yenileme ve aidat dışı oran raporlanır</w:t>
            </w:r>
          </w:p>
        </w:tc>
        <w:tc>
          <w:tcPr>
            <w:tcW w:type="dxa" w:w="330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Yeniden fiyatlama kilometre taşı</w:t>
            </w:r>
          </w:p>
        </w:tc>
      </w:tr>
    </w:tbl>
    <w:p>
      <w:pPr>
        <w:spacing w:after="120"/>
      </w:pPr>
    </w:p>
    <w:p>
      <w:r>
        <w:br w:type="page"/>
      </w:r>
    </w:p>
    <w:p>
      <w:pPr>
        <w:pStyle w:val="Heading1"/>
      </w:pPr>
      <w:r>
        <w:rPr>
          <w:color w:val="0F5F5C"/>
        </w:rPr>
        <w:t xml:space="preserve">10 </w:t>
      </w:r>
      <w:r>
        <w:t xml:space="preserve">Yönetişim ve yapı</w:t>
      </w:r>
    </w:p>
    <w:p>
      <w:pPr>
        <w:pStyle w:val="Heading2"/>
      </w:pPr>
      <w:r>
        <w:rPr>
          <w:i w:val="false"/>
          <w:iCs w:val="false"/>
        </w:rPr>
        <w:t xml:space="preserve">10.1 Kurumsal yapı</w:t>
      </w:r>
    </w:p>
    <w:p>
      <w:pPr>
        <w:pStyle w:val="ListParagraph"/>
        <w:numPr>
          <w:ilvl w:val="0"/>
          <w:numId w:val="3"/>
        </w:numPr>
        <w:spacing w:after="80" w:line="290"/>
      </w:pPr>
      <w:r>
        <w:rPr>
          <w:b/>
          <w:bCs/>
          <w:i w:val="false"/>
          <w:iCs w:val="false"/>
        </w:rPr>
        <w:t xml:space="preserve">PoC:</w:t>
      </w:r>
      <w:r>
        <w:rPr>
          <w:i w:val="false"/>
          <w:iCs w:val="false"/>
        </w:rPr>
        <w:t xml:space="preserve"> mülk sahibiyle yönetim / gelir paylaşımı anlaşması altında tek bir OpCo LLC — bir kredi verenin ve yatırımcının okuyabileceği en basit yapı.</w:t>
      </w:r>
    </w:p>
    <w:p>
      <w:pPr>
        <w:pStyle w:val="ListParagraph"/>
        <w:numPr>
          <w:ilvl w:val="0"/>
          <w:numId w:val="3"/>
        </w:numPr>
        <w:spacing w:after="80" w:line="290"/>
      </w:pPr>
      <w:r>
        <w:rPr>
          <w:b/>
          <w:bCs/>
          <w:i w:val="false"/>
          <w:iCs w:val="false"/>
        </w:rPr>
        <w:t xml:space="preserve">Ölçek:</w:t>
      </w:r>
      <w:r>
        <w:rPr>
          <w:i w:val="false"/>
          <w:iCs w:val="false"/>
        </w:rPr>
        <w:t xml:space="preserve"> PropCo (gayrimenkul ilişkisi) / OpCo-TRS (işletme) / MemberCo (yinelenen gelirli topluluk katmanı), ALA'nın altındaki IP holding yapısıyla. PEIT™ adı ve vergi tasarımı hazır tutulur; ilk kez üçüncü mekânda, ilk kurumsal PropCo ortağıyla gerekir.</w:t>
      </w:r>
    </w:p>
    <w:p>
      <w:pPr>
        <w:pStyle w:val="ListParagraph"/>
        <w:numPr>
          <w:ilvl w:val="0"/>
          <w:numId w:val="3"/>
        </w:numPr>
        <w:spacing w:after="80" w:line="290"/>
      </w:pPr>
      <w:r>
        <w:rPr>
          <w:b/>
          <w:bCs/>
          <w:i w:val="false"/>
          <w:iCs w:val="false"/>
        </w:rPr>
        <w:t xml:space="preserve">Altın hisse:</w:t>
      </w:r>
      <w:r>
        <w:rPr>
          <w:i w:val="false"/>
          <w:iCs w:val="false"/>
        </w:rPr>
        <w:t xml:space="preserve"> IP, marka ve üye verisi ALA'dan asla çıkmaz.</w:t>
      </w:r>
    </w:p>
    <w:p>
      <w:pPr>
        <w:pStyle w:val="Heading2"/>
      </w:pPr>
      <w:r>
        <w:rPr>
          <w:i w:val="false"/>
          <w:iCs w:val="false"/>
        </w:rPr>
        <w:t xml:space="preserve">10.2 Kim neyi tutar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5740"/>
        <w:gridCol w:w="3040"/>
      </w:tblGrid>
      <w:tr>
        <w:trPr>
          <w:cantSplit/>
          <w:tblHeader/>
        </w:trPr>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Taraf</w:t>
            </w:r>
          </w:p>
        </w:tc>
        <w:tc>
          <w:tcPr>
            <w:tcW w:type="dxa" w:w="574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Tutar</w:t>
            </w:r>
          </w:p>
        </w:tc>
        <w:tc>
          <w:tcPr>
            <w:tcW w:type="dxa" w:w="304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Tutmaz</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Kurucu / ALA</w:t>
            </w:r>
          </w:p>
        </w:tc>
        <w:tc>
          <w:tcPr>
            <w:tcW w:type="dxa" w:w="574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Her karşı taraf ve yatırımcı ilişkisi; ticari ve marka kararları; C+C+C'de %40; altın hisse</w:t>
            </w:r>
          </w:p>
        </w:tc>
        <w:tc>
          <w:tcPr>
            <w:tcW w:type="dxa" w:w="304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Yapısal ya da uyum vetosu</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 Müttefiki</w:t>
            </w:r>
          </w:p>
        </w:tc>
        <w:tc>
          <w:tcPr>
            <w:tcW w:type="dxa" w:w="574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Tüzel kişilik tasarımı, tesciller, kabul standardı, yapısal/uyum vetosu, emanet</w:t>
            </w:r>
          </w:p>
        </w:tc>
        <w:tc>
          <w:tcPr>
            <w:tcW w:type="dxa" w:w="304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Ticari, marka, işletme kararları; herhangi bir karşı taraf ilişkisi</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Yatırımcılar</w:t>
            </w:r>
          </w:p>
        </w:tc>
        <w:tc>
          <w:tcPr>
            <w:tcW w:type="dxa" w:w="574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C+C+C referansında %40; bilgi hakları; tranş kapıları</w:t>
            </w:r>
          </w:p>
        </w:tc>
        <w:tc>
          <w:tcPr>
            <w:tcW w:type="dxa" w:w="304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İşletme kontrolü</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Mülk sahibi</w:t>
            </w:r>
          </w:p>
        </w:tc>
        <w:tc>
          <w:tcPr>
            <w:tcW w:type="dxa" w:w="574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%20 kurucu hissesi ya da taban garantili gelir paylaşımı</w:t>
            </w:r>
          </w:p>
        </w:tc>
        <w:tc>
          <w:tcPr>
            <w:tcW w:type="dxa" w:w="304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IP ya da üye verisi üzerinde herhangi bir hak</w:t>
            </w:r>
          </w:p>
        </w:tc>
      </w:tr>
      <w:tr>
        <w:trPr>
          <w:cantSplit/>
          <w:tblHeader w:val="false"/>
        </w:trPr>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w:t>
            </w:r>
          </w:p>
        </w:tc>
        <w:tc>
          <w:tcPr>
            <w:tcW w:type="dxa" w:w="574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Kapıdaki isim, kategori münhasırlığı, ekran ağı payı, ROFR; ölçekte satın alınan katılım</w:t>
            </w:r>
          </w:p>
        </w:tc>
        <w:tc>
          <w:tcPr>
            <w:tcW w:type="dxa" w:w="304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Brüt üzerinden royalty; geniş onay hakları</w:t>
            </w:r>
          </w:p>
        </w:tc>
      </w:tr>
      <w:tr>
        <w:trPr>
          <w:cantSplit/>
          <w:tblHeader w:val="false"/>
        </w:trPr>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Üyeler</w:t>
            </w:r>
          </w:p>
        </w:tc>
        <w:tc>
          <w:tcPr>
            <w:tcW w:type="dxa" w:w="574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Tanınırlık, kademe başına haklar, her kademede dondurma, özel eşleştirme</w:t>
            </w:r>
          </w:p>
        </w:tc>
        <w:tc>
          <w:tcPr>
            <w:tcW w:type="dxa" w:w="304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 pay; başkalarının girişi üzerinde hak</w:t>
            </w:r>
          </w:p>
        </w:tc>
      </w:tr>
    </w:tbl>
    <w:p>
      <w:pPr>
        <w:spacing w:after="120"/>
      </w:pPr>
    </w:p>
    <w:p>
      <w:pPr>
        <w:pStyle w:val="Heading2"/>
      </w:pPr>
      <w:r>
        <w:rPr>
          <w:i w:val="false"/>
          <w:iCs w:val="false"/>
        </w:rPr>
        <w:t xml:space="preserve">10.3 Kuluçka disiplini</w:t>
      </w:r>
    </w:p>
    <w:p>
      <w:pPr>
        <w:spacing w:after="140" w:line="300"/>
      </w:pPr>
      <w:r>
        <w:rPr>
          <w:i w:val="false"/>
          <w:iCs w:val="false"/>
        </w:rPr>
        <w:t xml:space="preserve">Bir anchor sponsor ya da lider yatırımcı gerektirdiğinde: her hesap ve karşı tarafta tam şeffaflık; kısa bir onay listesi (eşik üstü para, borçlanma, sponsorun adının kullanımı, karşı taraf seçimi, kamuya iletişim, yabancı bir devlete değen her şey); sponsorun seçtiği, şirketin tuttuğu hukuk müşaviri; kişisel tazmin ve D&amp;O; öldürme düğmesi; ve onay listesinin kısaldığı kilometre taşına bağlı sona erme — ilk temiz denetim, ilk kapanmış işlem, ilk on iki ay. Güven değil, sınama. Zincirde hiçbir adım hiçbir yerde hiçbir hükümete bağlı değildir.</w:t>
      </w:r>
    </w:p>
    <w:p>
      <w:pPr>
        <w:pStyle w:val="Heading2"/>
      </w:pPr>
      <w:r>
        <w:rPr>
          <w:i w:val="false"/>
          <w:iCs w:val="false"/>
        </w:rPr>
        <w:t xml:space="preserve">10.4 Hane hesabı ve çocuk verisi</w:t>
      </w:r>
    </w:p>
    <w:p>
      <w:pPr>
        <w:spacing w:after="140" w:line="300"/>
      </w:pPr>
      <w:r>
        <w:rPr>
          <w:i w:val="false"/>
          <w:iCs w:val="false"/>
        </w:rPr>
        <w:t xml:space="preserve">MemberCo yalnızca hane hesabı verir. 18 yaş altı hiç kimse için bireysel profil, sensör eşleştirmesi ya da kişiselleştirme yoktur; HuxNet'in yaş kapısı varsayılan olarak kapalıdır; çocukların Sahne etkinlikleri ebeveyn rızası olmadan kaydedilmez ya da yayınlanmaz. Sömürü değil empati kanıtı olarak huniye yazılmıştır: rakiplerin yapamayacağı şey, çocuğu izlemeden haneyi kazanmaktır.</w:t>
      </w:r>
    </w:p>
    <w:p>
      <w:r>
        <w:br w:type="page"/>
      </w:r>
    </w:p>
    <w:p>
      <w:pPr>
        <w:pStyle w:val="Heading1"/>
      </w:pPr>
      <w:r>
        <w:rPr>
          <w:color w:val="0F5F5C"/>
        </w:rPr>
        <w:t xml:space="preserve">11 </w:t>
      </w:r>
      <w:r>
        <w:t xml:space="preserve">Risk kütüğü — yatırımcı formunda baskı testi</w:t>
      </w:r>
    </w:p>
    <w:p>
      <w:pPr>
        <w:spacing w:after="140" w:line="300"/>
      </w:pPr>
      <w:r>
        <w:rPr>
          <w:i w:val="false"/>
          <w:iCs w:val="false"/>
        </w:rPr>
        <w:t xml:space="preserve">Kurucular Konseyi El Kitabı Ek I'de on sekiz meydan okuma kayıtlıdır. Tura ilişkin olanlar, Pozisyon 08 maddeleri eklenmiş olarak: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210"/>
        <w:gridCol w:w="1569"/>
        <w:gridCol w:w="1300"/>
        <w:gridCol w:w="4035"/>
        <w:gridCol w:w="1966"/>
      </w:tblGrid>
      <w:tr>
        <w:trPr>
          <w:cantSplit/>
          <w:tblHeader/>
        </w:trPr>
        <w:tc>
          <w:tcPr>
            <w:tcW w:type="dxa" w:w="121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t>
            </w:r>
          </w:p>
        </w:tc>
        <w:tc>
          <w:tcPr>
            <w:tcW w:type="dxa" w:w="156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Risk</w:t>
            </w:r>
          </w:p>
        </w:tc>
        <w:tc>
          <w:tcPr>
            <w:tcW w:type="dxa" w:w="130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Durum</w:t>
            </w:r>
          </w:p>
        </w:tc>
        <w:tc>
          <w:tcPr>
            <w:tcW w:type="dxa" w:w="4035"/>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Bu plandaki önlem</w:t>
            </w:r>
          </w:p>
        </w:tc>
        <w:tc>
          <w:tcPr>
            <w:tcW w:type="dxa" w:w="1966"/>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Durdurma eşiği (öneri)</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C2 / C18</w:t>
            </w:r>
          </w:p>
        </w:tc>
        <w:tc>
          <w:tcPr>
            <w:tcW w:type="dxa" w:w="15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Talep satın alınmıyor, varsayılıyor</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Açık</w:t>
            </w:r>
          </w:p>
        </w:tc>
        <w:tc>
          <w:tcPr>
            <w:tcW w:type="dxa" w:w="40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Sekizinci hat "talep motoru": kendi kitlesi olan anchor'lar, sponsor trafik taahhüdü, %6–8 Sahne bütçesi</w:t>
            </w:r>
          </w:p>
        </w:tc>
        <w:tc>
          <w:tcPr>
            <w:tcW w:type="dxa" w:w="19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6. ayda yıllıklandırılmış ziyaret &lt; 600K ve yatay → motor yeniden kurulur</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C11 / C12</w:t>
            </w:r>
          </w:p>
        </w:tc>
        <w:tc>
          <w:tcPr>
            <w:tcW w:type="dxa" w:w="15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Üyelik hattı fazla büyük ve tanımsız</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Pozisyon 08 ile yanıtlandı</w:t>
            </w:r>
          </w:p>
        </w:tc>
        <w:tc>
          <w:tcPr>
            <w:tcW w:type="dxa" w:w="40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Kapasite tabanlı Arcade; somut haklara bağlı trafik aracı olarak Master; %25–35 bandı; erişim değil tanınırlık</w:t>
            </w:r>
          </w:p>
        </w:tc>
        <w:tc>
          <w:tcPr>
            <w:tcW w:type="dxa" w:w="19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Dönüşüm &lt; %0,7 → yeniden fiyatla; 6. ayda Arcade doluluğu &lt; %50 ya da kayıp &gt; %8/ay → küçült</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C13</w:t>
            </w:r>
          </w:p>
        </w:tc>
        <w:tc>
          <w:tcPr>
            <w:tcW w:type="dxa" w:w="15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Çift sayılan metrekare; eksik maliyet hatları</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Açık</w:t>
            </w:r>
          </w:p>
        </w:tc>
        <w:tc>
          <w:tcPr>
            <w:tcW w:type="dxa" w:w="40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Alan bazlı model; sigorta, vergi, güvenlik, pazarlama, teknoloji amortismanı eklenir</w:t>
            </w:r>
          </w:p>
        </w:tc>
        <w:tc>
          <w:tcPr>
            <w:tcW w:type="dxa" w:w="19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NOI marjı &lt; %20 → hat karması ve sponsor şartları yeniden tasarlanır</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C4 / 5-E</w:t>
            </w:r>
          </w:p>
        </w:tc>
        <w:tc>
          <w:tcPr>
            <w:tcW w:type="dxa" w:w="15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Brüt üzerinden sponsor royalty'si NOI'nin %23'ünü alırdı</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Kapandı, yeniden yapılandırıldı</w:t>
            </w:r>
          </w:p>
        </w:tc>
        <w:tc>
          <w:tcPr>
            <w:tcW w:type="dxa" w:w="40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kitle öder; olası royalty yalnızca seçili hatların neti üzerinden, tavanlı; tek sayfalık şelale</w:t>
            </w:r>
          </w:p>
        </w:tc>
        <w:tc>
          <w:tcPr>
            <w:tcW w:type="dxa" w:w="19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C9</w:t>
            </w:r>
          </w:p>
        </w:tc>
        <w:tc>
          <w:tcPr>
            <w:tcW w:type="dxa" w:w="15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Çocuk verisi / COPPA</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Açık</w:t>
            </w:r>
          </w:p>
        </w:tc>
        <w:tc>
          <w:tcPr>
            <w:tcW w:type="dxa" w:w="40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Yalnızca hane hesabı; hukuki görüş PoC ön koşulu</w:t>
            </w:r>
          </w:p>
        </w:tc>
        <w:tc>
          <w:tcPr>
            <w:tcW w:type="dxa" w:w="19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Görüş olmadan MemberCo açılmaz</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P08-1</w:t>
            </w:r>
          </w:p>
        </w:tc>
        <w:tc>
          <w:tcPr>
            <w:tcW w:type="dxa" w:w="15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rehberliği için sorumluluk</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Yeni</w:t>
            </w:r>
          </w:p>
        </w:tc>
        <w:tc>
          <w:tcPr>
            <w:tcW w:type="dxa" w:w="40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Kişisel görüş maddesi; lisanslı konular için yazılı yönlendirme</w:t>
            </w:r>
          </w:p>
        </w:tc>
        <w:tc>
          <w:tcPr>
            <w:tcW w:type="dxa" w:w="19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Madde olmadan üyelik şartları yayımlanmaz</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P08-2</w:t>
            </w:r>
          </w:p>
        </w:tc>
        <w:tc>
          <w:tcPr>
            <w:tcW w:type="dxa" w:w="15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Binadaki kamera</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Yeni</w:t>
            </w:r>
          </w:p>
        </w:tc>
        <w:tc>
          <w:tcPr>
            <w:tcW w:type="dxa" w:w="40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Mekâna bağlı bölgeleme; Sahne Erişimi açıklama taahhüdü ve askıya alma maddesi</w:t>
            </w:r>
          </w:p>
        </w:tc>
        <w:tc>
          <w:tcPr>
            <w:tcW w:type="dxa" w:w="19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Herhangi bir Sahne Erişimi sözleşmesinden önce bina politikası olarak benimsenir</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P08-3</w:t>
            </w:r>
          </w:p>
        </w:tc>
        <w:tc>
          <w:tcPr>
            <w:tcW w:type="dxa" w:w="15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indiriminin var olmayan bir kanaldan finansmanı</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Düzeltildi</w:t>
            </w:r>
          </w:p>
        </w:tc>
        <w:tc>
          <w:tcPr>
            <w:tcW w:type="dxa" w:w="40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Devlet desteği çıkarıldı; indirimi Tüccar ve Kurumsal finanse eder; hibeler artı</w:t>
            </w:r>
          </w:p>
        </w:tc>
        <w:tc>
          <w:tcPr>
            <w:tcW w:type="dxa" w:w="19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C14</w:t>
            </w:r>
          </w:p>
        </w:tc>
        <w:tc>
          <w:tcPr>
            <w:tcW w:type="dxa" w:w="15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Sayfalar arası mesaj tutarsızlığı</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Açık</w:t>
            </w:r>
          </w:p>
        </w:tc>
        <w:tc>
          <w:tcPr>
            <w:tcW w:type="dxa" w:w="40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Kanonik sayılar sayfası, tek sahip, üç aylık denetim</w:t>
            </w:r>
          </w:p>
        </w:tc>
        <w:tc>
          <w:tcPr>
            <w:tcW w:type="dxa" w:w="19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Sıfır tolerans</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C15</w:t>
            </w:r>
          </w:p>
        </w:tc>
        <w:tc>
          <w:tcPr>
            <w:tcW w:type="dxa" w:w="15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"5th Wall" adı vs girişim firması</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Açık</w:t>
            </w:r>
          </w:p>
        </w:tc>
        <w:tc>
          <w:tcPr>
            <w:tcW w:type="dxa" w:w="40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PoC öncesi marka görüşü; marka üreticide kalır ya da birlikte var olma görüşü alınır</w:t>
            </w:r>
          </w:p>
        </w:tc>
        <w:tc>
          <w:tcPr>
            <w:tcW w:type="dxa" w:w="19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Olumsuz görüş → yayımlanan alan adları taşınır</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C4</w:t>
            </w:r>
          </w:p>
        </w:tc>
        <w:tc>
          <w:tcPr>
            <w:tcW w:type="dxa" w:w="15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Mülk sahibi kira yerine hisseyi reddeder</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Açık</w:t>
            </w:r>
          </w:p>
        </w:tc>
        <w:tc>
          <w:tcPr>
            <w:tcW w:type="dxa" w:w="40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Industrious tipi yönetim anlaşmasına geri dönüş</w:t>
            </w:r>
          </w:p>
        </w:tc>
        <w:tc>
          <w:tcPr>
            <w:tcW w:type="dxa" w:w="19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Arka arkaya iki ret → yönetim anlaşmasıyla açılır</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C3</w:t>
            </w:r>
          </w:p>
        </w:tc>
        <w:tc>
          <w:tcPr>
            <w:tcW w:type="dxa" w:w="15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Marka uyumu / sosyal lisans</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Kısmi</w:t>
            </w:r>
          </w:p>
        </w:tc>
        <w:tc>
          <w:tcPr>
            <w:tcW w:type="dxa" w:w="40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Üç kademeli uyum politikası; Kademe 2 için 90 günlük çıkış hakkı; sosyal lisans testi</w:t>
            </w:r>
          </w:p>
        </w:tc>
        <w:tc>
          <w:tcPr>
            <w:tcW w:type="dxa" w:w="19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 giriş &gt; %10 kiracı çıkışını tetikler → politika devreye girer</w:t>
            </w:r>
          </w:p>
        </w:tc>
      </w:tr>
      <w:tr>
        <w:trPr>
          <w:cantSplit/>
          <w:tblHeader w:val="false"/>
        </w:trPr>
        <w:tc>
          <w:tcPr>
            <w:tcW w:type="dxa" w:w="121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8.1</w:t>
            </w:r>
          </w:p>
        </w:tc>
        <w:tc>
          <w:tcPr>
            <w:tcW w:type="dxa" w:w="156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Ray kapı bekçisi bağımlılığı</w:t>
            </w:r>
          </w:p>
        </w:tc>
        <w:tc>
          <w:tcPr>
            <w:tcW w:type="dxa" w:w="130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Tasarlandı</w:t>
            </w:r>
          </w:p>
        </w:tc>
        <w:tc>
          <w:tcPr>
            <w:tcW w:type="dxa" w:w="4035"/>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Egemen ray her zaman canlı; hiçbir ray rezerve talebin üçte birini aşmaz</w:t>
            </w:r>
          </w:p>
        </w:tc>
        <w:tc>
          <w:tcPr>
            <w:tcW w:type="dxa" w:w="1966"/>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r>
        <w:trPr>
          <w:cantSplit/>
          <w:tblHeader w:val="false"/>
        </w:trPr>
        <w:tc>
          <w:tcPr>
            <w:tcW w:type="dxa" w:w="121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C8</w:t>
            </w:r>
          </w:p>
        </w:tc>
        <w:tc>
          <w:tcPr>
            <w:tcW w:type="dxa" w:w="156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Kanıttan önce zincir iddiası</w:t>
            </w:r>
          </w:p>
        </w:tc>
        <w:tc>
          <w:tcPr>
            <w:tcW w:type="dxa" w:w="130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Kapandı</w:t>
            </w:r>
          </w:p>
        </w:tc>
        <w:tc>
          <w:tcPr>
            <w:tcW w:type="dxa" w:w="4035"/>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Dört çeyrek veri olmadan ikinci mekân yok</w:t>
            </w:r>
          </w:p>
        </w:tc>
        <w:tc>
          <w:tcPr>
            <w:tcW w:type="dxa" w:w="1966"/>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w:t>
            </w:r>
          </w:p>
        </w:tc>
      </w:tr>
    </w:tbl>
    <w:p>
      <w:pPr>
        <w:spacing w:after="120"/>
      </w:pPr>
    </w:p>
    <w:p>
      <w:r>
        <w:br w:type="page"/>
      </w:r>
    </w:p>
    <w:p>
      <w:pPr>
        <w:pStyle w:val="Heading1"/>
      </w:pPr>
      <w:r>
        <w:rPr>
          <w:color w:val="0F5F5C"/>
        </w:rPr>
        <w:t xml:space="preserve">12 </w:t>
      </w:r>
      <w:r>
        <w:t xml:space="preserve">On iki aylık skor tablosu — Venue-0'ın kanıtlaması gerekenler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691"/>
        <w:gridCol w:w="4399"/>
        <w:gridCol w:w="990"/>
      </w:tblGrid>
      <w:tr>
        <w:trPr>
          <w:cantSplit/>
          <w:tblHeader/>
        </w:trPr>
        <w:tc>
          <w:tcPr>
            <w:tcW w:type="dxa" w:w="469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Hipotez</w:t>
            </w:r>
          </w:p>
        </w:tc>
        <w:tc>
          <w:tcPr>
            <w:tcW w:type="dxa" w:w="4399"/>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Ölçüt</w:t>
            </w:r>
          </w:p>
        </w:tc>
        <w:tc>
          <w:tcPr>
            <w:tcW w:type="dxa" w:w="990"/>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Faz</w:t>
            </w:r>
          </w:p>
        </w:tc>
      </w:tr>
      <w:tr>
        <w:trPr>
          <w:cantSplit/>
          <w:tblHeader w:val="false"/>
        </w:trPr>
        <w:tc>
          <w:tcPr>
            <w:tcW w:type="dxa" w:w="469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 hane tek ziyarette birden fazla katmandan kazandırır</w:t>
            </w:r>
          </w:p>
        </w:tc>
        <w:tc>
          <w:tcPr>
            <w:tcW w:type="dxa" w:w="4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Hane RevPAM'ı; hane ziyaretlerinin ≥ %15'i çok katmanlı</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w:t>
            </w:r>
          </w:p>
        </w:tc>
      </w:tr>
      <w:tr>
        <w:trPr>
          <w:cantSplit/>
          <w:tblHeader w:val="false"/>
        </w:trPr>
        <w:tc>
          <w:tcPr>
            <w:tcW w:type="dxa" w:w="469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Trafiğe organik olarak ve anchor'larla ulaşılabilir</w:t>
            </w:r>
          </w:p>
        </w:tc>
        <w:tc>
          <w:tcPr>
            <w:tcW w:type="dxa" w:w="4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İlk ziyaretin kaynağı; anchor / üretici / sponsor payı</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w:t>
            </w:r>
          </w:p>
        </w:tc>
      </w:tr>
      <w:tr>
        <w:trPr>
          <w:cantSplit/>
          <w:tblHeader w:val="false"/>
        </w:trPr>
        <w:tc>
          <w:tcPr>
            <w:tcW w:type="dxa" w:w="469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Misafir → Master dönüşümü 15–25 $'da gerçektir</w:t>
            </w:r>
          </w:p>
        </w:tc>
        <w:tc>
          <w:tcPr>
            <w:tcW w:type="dxa" w:w="4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Üç fiyat ve hak paketinin A/B testi; 90 gün aktivasyon ≥ %70</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w:t>
            </w:r>
          </w:p>
        </w:tc>
      </w:tr>
      <w:tr>
        <w:trPr>
          <w:cantSplit/>
          <w:tblHeader w:val="false"/>
        </w:trPr>
        <w:tc>
          <w:tcPr>
            <w:tcW w:type="dxa" w:w="469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 110–150 $'da fiziksel kapasiteye dolar</w:t>
            </w:r>
          </w:p>
        </w:tc>
        <w:tc>
          <w:tcPr>
            <w:tcW w:type="dxa" w:w="4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300 masayla kademeli açılış; doluluk, kayıp</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P1–P2</w:t>
            </w:r>
          </w:p>
        </w:tc>
      </w:tr>
      <w:tr>
        <w:trPr>
          <w:cantSplit/>
          <w:tblHeader w:val="false"/>
        </w:trPr>
        <w:tc>
          <w:tcPr>
            <w:tcW w:type="dxa" w:w="469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Üyeler her hafta döner ve birbirini tanır</w:t>
            </w:r>
          </w:p>
        </w:tc>
        <w:tc>
          <w:tcPr>
            <w:tcW w:type="dxa" w:w="4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Üye başına ziyaret ≥ 4; sosyal bağ oranı ≥ %60</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P1–P2</w:t>
            </w:r>
          </w:p>
        </w:tc>
      </w:tr>
      <w:tr>
        <w:trPr>
          <w:cantSplit/>
          <w:tblHeader w:val="false"/>
        </w:trPr>
        <w:tc>
          <w:tcPr>
            <w:tcW w:type="dxa" w:w="469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Aidat diğer altı hatta harcama satın alır</w:t>
            </w:r>
          </w:p>
        </w:tc>
        <w:tc>
          <w:tcPr>
            <w:tcW w:type="dxa" w:w="4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Aidat dışı gelir / aidat 1,5–3,0×</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P2</w:t>
            </w:r>
          </w:p>
        </w:tc>
      </w:tr>
      <w:tr>
        <w:trPr>
          <w:cantSplit/>
          <w:tblHeader w:val="false"/>
        </w:trPr>
        <w:tc>
          <w:tcPr>
            <w:tcW w:type="dxa" w:w="469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Üretici masaları kendini öder</w:t>
            </w:r>
          </w:p>
        </w:tc>
        <w:tc>
          <w:tcPr>
            <w:tcW w:type="dxa" w:w="4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Masa başına gelir vs devir maliyeti; katkı marjı ≥ %15</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w:t>
            </w:r>
          </w:p>
        </w:tc>
      </w:tr>
      <w:tr>
        <w:trPr>
          <w:cantSplit/>
          <w:tblHeader w:val="false"/>
        </w:trPr>
        <w:tc>
          <w:tcPr>
            <w:tcW w:type="dxa" w:w="469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oturumları kamu panosu olmadan dolar</w:t>
            </w:r>
          </w:p>
        </w:tc>
        <w:tc>
          <w:tcPr>
            <w:tcW w:type="dxa" w:w="4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Oturum doluluğu ≥ %80, özel ölçülür</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P1–P2</w:t>
            </w:r>
          </w:p>
        </w:tc>
      </w:tr>
      <w:tr>
        <w:trPr>
          <w:cantSplit/>
          <w:tblHeader w:val="false"/>
        </w:trPr>
        <w:tc>
          <w:tcPr>
            <w:tcW w:type="dxa" w:w="469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Medya ölçülmüş kitleyle havalimanı CPM'ine yaklaşır</w:t>
            </w:r>
          </w:p>
        </w:tc>
        <w:tc>
          <w:tcPr>
            <w:tcW w:type="dxa" w:w="4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Üç pilot reklamverenle CPM ≥ 1,5× sokak DOOH</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P2</w:t>
            </w:r>
          </w:p>
        </w:tc>
      </w:tr>
      <w:tr>
        <w:trPr>
          <w:cantSplit/>
          <w:tblHeader w:val="false"/>
        </w:trPr>
        <w:tc>
          <w:tcPr>
            <w:tcW w:type="dxa" w:w="469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Dört sistem 90 gün manuel yedeksiz çalışır</w:t>
            </w:r>
          </w:p>
        </w:tc>
        <w:tc>
          <w:tcPr>
            <w:tcW w:type="dxa" w:w="4399"/>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Çalışma süresi kaydı</w:t>
            </w:r>
          </w:p>
        </w:tc>
        <w:tc>
          <w:tcPr>
            <w:tcW w:type="dxa" w:w="990"/>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P0–P1</w:t>
            </w:r>
          </w:p>
        </w:tc>
      </w:tr>
      <w:tr>
        <w:trPr>
          <w:cantSplit/>
          <w:tblHeader w:val="false"/>
        </w:trPr>
        <w:tc>
          <w:tcPr>
            <w:tcW w:type="dxa" w:w="469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Tüm hatlarla NOI marjı %30'un üstünde kalır</w:t>
            </w:r>
          </w:p>
        </w:tc>
        <w:tc>
          <w:tcPr>
            <w:tcW w:type="dxa" w:w="4399"/>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Tam alan bazlı P&amp;L</w:t>
            </w:r>
          </w:p>
        </w:tc>
        <w:tc>
          <w:tcPr>
            <w:tcW w:type="dxa" w:w="990"/>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P0 → P2</w:t>
            </w:r>
          </w:p>
        </w:tc>
      </w:tr>
    </w:tbl>
    <w:p>
      <w:pPr>
        <w:spacing w:after="120"/>
      </w:pPr>
    </w:p>
    <w:p>
      <w:pPr>
        <w:spacing w:after="140" w:line="300"/>
      </w:pPr>
      <w:r>
        <w:rPr>
          <w:b/>
          <w:bCs/>
          <w:i w:val="false"/>
          <w:iCs w:val="false"/>
        </w:rPr>
        <w:t xml:space="preserve">Replikasyon kitabına girer:</w:t>
      </w:r>
      <w:r>
        <w:rPr>
          <w:i w:val="false"/>
          <w:iCs w:val="false"/>
        </w:rPr>
        <w:t xml:space="preserve"> dört sistem ve kurulum kitabı; gerçek oranlarla alan bazlı yedi hatlı P&amp;L; kademe paketi ve pano tanımları; üretici giriş fiyat merdiveni; uyum politikası ve çakışma listesi; imzalı mülk sahibi şablonu; talep motoru karması; Sahne takvimi ve bütçe yüzdesi; kamera bölgelemesi ve Sahne Erişimi sözleşmesi.</w:t>
      </w:r>
    </w:p>
    <w:p>
      <w:pPr>
        <w:spacing w:after="140" w:line="300"/>
      </w:pPr>
      <w:r>
        <w:rPr>
          <w:b/>
          <w:bCs/>
          <w:i w:val="false"/>
          <w:iCs w:val="false"/>
        </w:rPr>
        <w:t xml:space="preserve">Yerel kalır:</w:t>
      </w:r>
      <w:r>
        <w:rPr>
          <w:i w:val="false"/>
          <w:iCs w:val="false"/>
        </w:rPr>
        <w:t xml:space="preserve"> anchor ve üretici listesi; Açık Pazar programı; lokasyon başına tohum sponsoru; asma kat alanına göre Arcade kapasitesi; Emeritus kadrosu.</w:t>
      </w:r>
    </w:p>
    <w:p>
      <w:r>
        <w:br w:type="page"/>
      </w:r>
    </w:p>
    <w:p>
      <w:pPr>
        <w:pStyle w:val="Heading1"/>
      </w:pPr>
      <w:r>
        <w:rPr>
          <w:color w:val="0F5F5C"/>
        </w:rPr>
        <w:t xml:space="preserve">13 </w:t>
      </w:r>
      <w:r>
        <w:t xml:space="preserve">Tur dışarı çıkmadan önce Konsey'in karara bağlaması gerekenler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72"/>
        <w:gridCol w:w="8107"/>
        <w:gridCol w:w="1301"/>
      </w:tblGrid>
      <w:tr>
        <w:trPr>
          <w:cantSplit/>
          <w:tblHeader/>
        </w:trPr>
        <w:tc>
          <w:tcPr>
            <w:tcW w:type="dxa" w:w="67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w:t>
            </w:r>
          </w:p>
        </w:tc>
        <w:tc>
          <w:tcPr>
            <w:tcW w:type="dxa" w:w="8107"/>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Karar</w:t>
            </w:r>
          </w:p>
        </w:tc>
        <w:tc>
          <w:tcPr>
            <w:tcW w:type="dxa" w:w="1301"/>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Sahip</w:t>
            </w:r>
          </w:p>
        </w:tc>
      </w:tr>
      <w:tr>
        <w:trPr>
          <w:cantSplit/>
          <w:tblHeader w:val="false"/>
        </w:trPr>
        <w:tc>
          <w:tcPr>
            <w:tcW w:type="dxa" w:w="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w:t>
            </w:r>
          </w:p>
        </w:tc>
        <w:tc>
          <w:tcPr>
            <w:tcW w:type="dxa" w:w="81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Master aylık fiyatı — Pozisyon 08'deki her şey ondan türer; ertelenemez</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2</w:t>
            </w:r>
          </w:p>
        </w:tc>
        <w:tc>
          <w:tcPr>
            <w:tcW w:type="dxa" w:w="81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Arcade çapası: adı geçen bir rakip yerine coworking pazar medyanının benimsenmesi</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3</w:t>
            </w:r>
          </w:p>
        </w:tc>
        <w:tc>
          <w:tcPr>
            <w:tcW w:type="dxa" w:w="81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 indiriminin Tüccar ve Kurumsal tarafından finanse edilmesi; devlet desteğinin modelden çıkarılması</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4</w:t>
            </w:r>
          </w:p>
        </w:tc>
        <w:tc>
          <w:tcPr>
            <w:tcW w:type="dxa" w:w="81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Herhangi bir Sahne Erişimi sözleşmesinden önce kamera bölgelemesinin bina politikası olarak benimsenmesi</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5</w:t>
            </w:r>
          </w:p>
        </w:tc>
        <w:tc>
          <w:tcPr>
            <w:tcW w:type="dxa" w:w="81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Emeritus'un reddedilebilen tek kademe olarak teyidi</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6</w:t>
            </w:r>
          </w:p>
        </w:tc>
        <w:tc>
          <w:tcPr>
            <w:tcW w:type="dxa" w:w="81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Pozisyon 08'in kütükte Kullanıcılar, Ziyaretçiler ve Ötesi olarak yeniden adlandırılması</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7</w:t>
            </w:r>
          </w:p>
        </w:tc>
        <w:tc>
          <w:tcPr>
            <w:tcW w:type="dxa" w:w="81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Yatırımcı sunumu için önde gidecek senaryo: muhafazakâr (önerilen) ya da kurucu tabanı</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8</w:t>
            </w:r>
          </w:p>
        </w:tc>
        <w:tc>
          <w:tcPr>
            <w:tcW w:type="dxa" w:w="81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Enstrüman, değerleme esası, birinci tranş lideri</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 + Hukuk Müttefiki</w:t>
            </w:r>
          </w:p>
        </w:tc>
      </w:tr>
      <w:tr>
        <w:trPr>
          <w:cantSplit/>
          <w:tblHeader w:val="false"/>
        </w:trPr>
        <w:tc>
          <w:tcPr>
            <w:tcW w:type="dxa" w:w="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9</w:t>
            </w:r>
          </w:p>
        </w:tc>
        <w:tc>
          <w:tcPr>
            <w:tcW w:type="dxa" w:w="81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 royalty'sinin kit + aktivasyon + ROFR'ye; ölçekte satın alınan katılıma dönüştürülmesi</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10</w:t>
            </w:r>
          </w:p>
        </w:tc>
        <w:tc>
          <w:tcPr>
            <w:tcW w:type="dxa" w:w="81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Birincil müşteri tanımı olarak hane; Kademe 2 çıkış hakları; ultra hızlı modanın PoC dışında tutulması</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11</w:t>
            </w:r>
          </w:p>
        </w:tc>
        <w:tc>
          <w:tcPr>
            <w:tcW w:type="dxa" w:w="81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Faire hisse düzeyi hattının yetkilendirilmesi</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12</w:t>
            </w:r>
          </w:p>
        </w:tc>
        <w:tc>
          <w:tcPr>
            <w:tcW w:type="dxa" w:w="81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Marka görüşüne bağlı alan adı stratejisi; kanonik sayılar sayfasının sahibi; tek LLC olarak PoC</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 + Hukuk Müttefiki</w:t>
            </w:r>
          </w:p>
        </w:tc>
      </w:tr>
      <w:tr>
        <w:trPr>
          <w:cantSplit/>
          <w:tblHeader w:val="false"/>
        </w:trPr>
        <w:tc>
          <w:tcPr>
            <w:tcW w:type="dxa" w:w="6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13</w:t>
            </w:r>
          </w:p>
        </w:tc>
        <w:tc>
          <w:tcPr>
            <w:tcW w:type="dxa" w:w="8107"/>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Market anchor'ı kaybı: kendi market işletmesinden önce ayrı müzakere</w:t>
            </w:r>
          </w:p>
        </w:tc>
        <w:tc>
          <w:tcPr>
            <w:tcW w:type="dxa" w:w="1301"/>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Konsey</w:t>
            </w:r>
          </w:p>
        </w:tc>
      </w:tr>
      <w:tr>
        <w:trPr>
          <w:cantSplit/>
          <w:tblHeader w:val="false"/>
        </w:trPr>
        <w:tc>
          <w:tcPr>
            <w:tcW w:type="dxa" w:w="6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14</w:t>
            </w:r>
          </w:p>
        </w:tc>
        <w:tc>
          <w:tcPr>
            <w:tcW w:type="dxa" w:w="8107"/>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Hukuk Müttefiki sıralamasının doğrudan görüşmelerle teyidi; Vekâlet Mandası'nın sunulması</w:t>
            </w:r>
          </w:p>
        </w:tc>
        <w:tc>
          <w:tcPr>
            <w:tcW w:type="dxa" w:w="1301"/>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Kurucu</w:t>
            </w:r>
          </w:p>
        </w:tc>
      </w:tr>
    </w:tbl>
    <w:p>
      <w:pPr>
        <w:spacing w:after="120"/>
      </w:pPr>
    </w:p>
    <w:p>
      <w:pPr>
        <w:spacing w:after="140" w:line="300"/>
      </w:pPr>
      <w:r>
        <w:rPr>
          <w:i w:val="false"/>
          <w:iCs w:val="false"/>
        </w:rPr>
        <w:t xml:space="preserve">İki konu yanıtlanmak yerine işaretlenmiştir: Master'ı izleyen Emeritus ücretinin düzeyi; ve henüz mevcut olmayan bir kat planına bağlı olan Arcade'in Emeritus oturum katından fiziksel ayrımı.</w:t>
      </w:r>
    </w:p>
    <w:p>
      <w:r>
        <w:br w:type="page"/>
      </w:r>
    </w:p>
    <w:p>
      <w:pPr>
        <w:pStyle w:val="Heading1"/>
      </w:pPr>
      <w:r>
        <w:rPr>
          <w:color w:val="0F5F5C"/>
        </w:rPr>
        <w:t xml:space="preserve">A </w:t>
      </w:r>
      <w:r>
        <w:t xml:space="preserve">Kaynaklar — Kollar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908"/>
        <w:gridCol w:w="7172"/>
      </w:tblGrid>
      <w:tr>
        <w:trPr>
          <w:cantSplit/>
          <w:tblHeader/>
        </w:trPr>
        <w:tc>
          <w:tcPr>
            <w:tcW w:type="dxa" w:w="2908"/>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Sayfa</w:t>
            </w:r>
          </w:p>
        </w:tc>
        <w:tc>
          <w:tcPr>
            <w:tcW w:type="dxa" w:w="7172"/>
            <w:tcBorders>
              <w:top w:val="single" w:color="D5DBD6" w:sz="4"/>
              <w:left w:val="none" w:color="FFFFFF" w:sz="0"/>
              <w:bottom w:val="single" w:color="D5DBD6" w:sz="4"/>
              <w:right w:val="none" w:color="FFFFFF" w:sz="0"/>
            </w:tcBorders>
            <w:shd w:fill="1B2530" w:color="auto" w:val="clear"/>
            <w:tcMar>
              <w:top w:type="dxa" w:w="70"/>
              <w:left w:type="dxa" w:w="100"/>
              <w:bottom w:type="dxa" w:w="70"/>
              <w:right w:type="dxa" w:w="100"/>
            </w:tcMar>
            <w:vAlign w:val="top"/>
          </w:tcPr>
          <w:p>
            <w:pPr>
              <w:spacing w:after="0" w:line="260"/>
              <w:jc w:val="left"/>
            </w:pPr>
            <w:r>
              <w:rPr>
                <w:rFonts w:ascii="Calibri" w:cs="Calibri" w:eastAsia="Calibri" w:hAnsi="Calibri"/>
                <w:b/>
                <w:bCs/>
                <w:i w:val="false"/>
                <w:iCs w:val="false"/>
                <w:color w:val="FFFFFF"/>
                <w:sz w:val="18"/>
                <w:szCs w:val="18"/>
              </w:rPr>
              <w:t xml:space="preserve">Bu playbook'taki rolü</w:t>
            </w:r>
          </w:p>
        </w:tc>
      </w:tr>
      <w:tr>
        <w:trPr>
          <w:cantSplit/>
          <w:tblHeader w:val="false"/>
        </w:trPr>
        <w:tc>
          <w:tcPr>
            <w:tcW w:type="dxa" w:w="29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legal-ally.fifthwallpe.com</w:t>
            </w:r>
          </w:p>
        </w:tc>
        <w:tc>
          <w:tcPr>
            <w:tcW w:type="dxa" w:w="71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İttifak İskeleti Bölüm 1; Vekâlet Mandası; aday sıralaması</w:t>
            </w:r>
          </w:p>
        </w:tc>
      </w:tr>
      <w:tr>
        <w:trPr>
          <w:cantSplit/>
          <w:tblHeader w:val="false"/>
        </w:trPr>
        <w:tc>
          <w:tcPr>
            <w:tcW w:type="dxa" w:w="290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users-visitors-beyond.atmospheremarketplace.com</w:t>
            </w:r>
          </w:p>
        </w:tc>
        <w:tc>
          <w:tcPr>
            <w:tcW w:type="dxa" w:w="71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Pozisyon 08; üyelik mimarisi; fiyatlama; kırmızı çizgiler; pano; ABD Üyelik Ekonomisi ve Canlı Ticaret çalışmaları</w:t>
            </w:r>
          </w:p>
        </w:tc>
      </w:tr>
      <w:tr>
        <w:trPr>
          <w:cantSplit/>
          <w:tblHeader w:val="false"/>
        </w:trPr>
        <w:tc>
          <w:tcPr>
            <w:tcW w:type="dxa" w:w="29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entrepreneur-allies.fifthwallpe.com</w:t>
            </w:r>
          </w:p>
        </w:tc>
        <w:tc>
          <w:tcPr>
            <w:tcW w:type="dxa" w:w="71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Talep kanıt endeksi; 100K → 92K denklemi; 1.001 pozisyon; fiyat çapası</w:t>
            </w:r>
          </w:p>
        </w:tc>
      </w:tr>
      <w:tr>
        <w:trPr>
          <w:cantSplit/>
          <w:tblHeader w:val="false"/>
        </w:trPr>
        <w:tc>
          <w:tcPr>
            <w:tcW w:type="dxa" w:w="290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pressure-test.fifthwallpe.com</w:t>
            </w:r>
          </w:p>
        </w:tc>
        <w:tc>
          <w:tcPr>
            <w:tcW w:type="dxa" w:w="71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On sekiz meydan okuma; muhafazakâr senaryo düzeltmeleri; test kütüğü; PoC kapsamı</w:t>
            </w:r>
          </w:p>
        </w:tc>
      </w:tr>
      <w:tr>
        <w:trPr>
          <w:cantSplit/>
          <w:tblHeader w:val="false"/>
        </w:trPr>
        <w:tc>
          <w:tcPr>
            <w:tcW w:type="dxa" w:w="29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media-ally.fifthwallpe.com</w:t>
            </w:r>
          </w:p>
        </w:tc>
        <w:tc>
          <w:tcPr>
            <w:tcW w:type="dxa" w:w="71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Ray tezi; üç kapı; term sheet iskeleti; dağıtım takvimi</w:t>
            </w:r>
          </w:p>
        </w:tc>
      </w:tr>
      <w:tr>
        <w:trPr>
          <w:cantSplit/>
          <w:tblHeader w:val="false"/>
        </w:trPr>
        <w:tc>
          <w:tcPr>
            <w:tcW w:type="dxa" w:w="290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sponsor-ally.fifthwallpe.com</w:t>
            </w:r>
          </w:p>
        </w:tc>
        <w:tc>
          <w:tcPr>
            <w:tcW w:type="dxa" w:w="71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Opsiyon 4 merdiveni; Kia birincil; imza sırası; 120 günlük yol haritası</w:t>
            </w:r>
          </w:p>
        </w:tc>
      </w:tr>
      <w:tr>
        <w:trPr>
          <w:cantSplit/>
          <w:tblHeader w:val="false"/>
        </w:trPr>
        <w:tc>
          <w:tcPr>
            <w:tcW w:type="dxa" w:w="29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anchor-allies.fifthwallpe.com</w:t>
            </w:r>
          </w:p>
        </w:tc>
        <w:tc>
          <w:tcPr>
            <w:tcW w:type="dxa" w:w="71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142 puanlanmış marka; dört anchor tipi; teklif paketi; 90 günlük erişim</w:t>
            </w:r>
          </w:p>
        </w:tc>
      </w:tr>
      <w:tr>
        <w:trPr>
          <w:cantSplit/>
          <w:tblHeader w:val="false"/>
        </w:trPr>
        <w:tc>
          <w:tcPr>
            <w:tcW w:type="dxa" w:w="290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landlord-math.fifthwallpe.com</w:t>
            </w:r>
          </w:p>
        </w:tc>
        <w:tc>
          <w:tcPr>
            <w:tcW w:type="dxa" w:w="71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Kira vs müttefik çalışma sayfası; taban garantisi mantığı</w:t>
            </w:r>
          </w:p>
        </w:tc>
      </w:tr>
      <w:tr>
        <w:trPr>
          <w:cantSplit/>
          <w:tblHeader w:val="false"/>
        </w:trPr>
        <w:tc>
          <w:tcPr>
            <w:tcW w:type="dxa" w:w="29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special-situation.alevelalliances.com</w:t>
            </w:r>
          </w:p>
        </w:tc>
        <w:tc>
          <w:tcPr>
            <w:tcW w:type="dxa" w:w="71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Kutunun NPL çerçevesi; kuluçka disiplini; vade duvarı</w:t>
            </w:r>
          </w:p>
        </w:tc>
      </w:tr>
      <w:tr>
        <w:trPr>
          <w:cantSplit/>
          <w:tblHeader w:val="false"/>
        </w:trPr>
        <w:tc>
          <w:tcPr>
            <w:tcW w:type="dxa" w:w="290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trust-ally.fifthwallpe.com</w:t>
            </w:r>
          </w:p>
        </w:tc>
        <w:tc>
          <w:tcPr>
            <w:tcW w:type="dxa" w:w="71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Saha tezi; Qumbet mirası; altın hisse; sınama</w:t>
            </w:r>
          </w:p>
        </w:tc>
      </w:tr>
      <w:tr>
        <w:trPr>
          <w:cantSplit/>
          <w:tblHeader w:val="false"/>
        </w:trPr>
        <w:tc>
          <w:tcPr>
            <w:tcW w:type="dxa" w:w="2908"/>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marketoutlook.fifthwallpe.com</w:t>
            </w:r>
          </w:p>
        </w:tc>
        <w:tc>
          <w:tcPr>
            <w:tcW w:type="dxa" w:w="7172"/>
            <w:tcBorders>
              <w:top w:val="single" w:color="D5DBD6" w:sz="4"/>
              <w:left w:val="none" w:color="FFFFFF" w:sz="0"/>
              <w:bottom w:val="single" w:color="D5DBD6" w:sz="4"/>
              <w:right w:val="none" w:color="FFFFFF" w:sz="0"/>
            </w:tcBorders>
            <w:shd w:fill="FFFFFF"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ICSC rakamları (2017–18), C17 uyarınca 2025–26 verisiyle aşıldı; burada kullanılmadı</w:t>
            </w:r>
          </w:p>
        </w:tc>
      </w:tr>
      <w:tr>
        <w:trPr>
          <w:cantSplit/>
          <w:tblHeader w:val="false"/>
        </w:trPr>
        <w:tc>
          <w:tcPr>
            <w:tcW w:type="dxa" w:w="2908"/>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Destekleyici</w:t>
            </w:r>
          </w:p>
        </w:tc>
        <w:tc>
          <w:tcPr>
            <w:tcW w:type="dxa" w:w="7172"/>
            <w:tcBorders>
              <w:top w:val="single" w:color="D5DBD6" w:sz="4"/>
              <w:left w:val="none" w:color="FFFFFF" w:sz="0"/>
              <w:bottom w:val="single" w:color="D5DBD6" w:sz="4"/>
              <w:right w:val="none" w:color="FFFFFF" w:sz="0"/>
            </w:tcBorders>
            <w:shd w:fill="F7F9F8" w:color="auto" w:val="clear"/>
            <w:tcMar>
              <w:top w:type="dxa" w:w="70"/>
              <w:left w:type="dxa" w:w="100"/>
              <w:bottom w:type="dxa" w:w="70"/>
              <w:right w:type="dxa" w:w="100"/>
            </w:tcMar>
            <w:vAlign w:val="top"/>
          </w:tcPr>
          <w:p>
            <w:pPr>
              <w:spacing w:after="0" w:line="260"/>
              <w:jc w:val="left"/>
            </w:pPr>
            <w:r>
              <w:rPr>
                <w:rFonts w:ascii="Calibri" w:cs="Calibri" w:eastAsia="Calibri" w:hAnsi="Calibri"/>
                <w:b w:val="false"/>
                <w:bCs w:val="false"/>
                <w:i w:val="false"/>
                <w:iCs w:val="false"/>
                <w:color w:val="1B2530"/>
                <w:sz w:val="18"/>
                <w:szCs w:val="18"/>
              </w:rPr>
              <w:t xml:space="preserve">add-values-thirdplace.fifthwallpe.com (Yatırım Teaser'ı); casestudies.fifthwallpe.com (Birim Ekonomisi)</w:t>
            </w:r>
          </w:p>
        </w:tc>
      </w:tr>
    </w:tbl>
    <w:p>
      <w:pPr>
        <w:spacing w:after="120"/>
      </w:pPr>
    </w:p>
    <w:p>
      <w:r>
        <w:br w:type="page"/>
      </w:r>
    </w:p>
    <w:p>
      <w:pPr>
        <w:pStyle w:val="Heading1"/>
      </w:pPr>
      <w:r>
        <w:rPr>
          <w:color w:val="0F5F5C"/>
        </w:rPr>
        <w:t xml:space="preserve">B </w:t>
      </w:r>
      <w:r>
        <w:t xml:space="preserve">Sözlük</w:t>
      </w:r>
    </w:p>
    <w:p>
      <w:pPr>
        <w:pStyle w:val="ListParagraph"/>
        <w:numPr>
          <w:ilvl w:val="0"/>
          <w:numId w:val="3"/>
        </w:numPr>
        <w:spacing w:after="80" w:line="290"/>
      </w:pPr>
      <w:r>
        <w:rPr>
          <w:b/>
          <w:bCs/>
          <w:i w:val="false"/>
          <w:iCs w:val="false"/>
        </w:rPr>
        <w:t xml:space="preserve">RevPAM</w:t>
      </w:r>
      <w:r>
        <w:rPr>
          <w:i w:val="false"/>
          <w:iCs w:val="false"/>
        </w:rPr>
        <w:t xml:space="preserve"> — kullanılabilir metre, üye ya da hane başına gelir; tek tanım, üç ölçek.</w:t>
      </w:r>
    </w:p>
    <w:p>
      <w:pPr>
        <w:pStyle w:val="ListParagraph"/>
        <w:numPr>
          <w:ilvl w:val="0"/>
          <w:numId w:val="3"/>
        </w:numPr>
        <w:spacing w:after="80" w:line="290"/>
      </w:pPr>
      <w:r>
        <w:rPr>
          <w:b/>
          <w:bCs/>
          <w:i w:val="false"/>
          <w:iCs w:val="false"/>
        </w:rPr>
        <w:t xml:space="preserve">Üçüncü Yer / Üçüncü Alan / Üçüncü Kanal</w:t>
      </w:r>
      <w:r>
        <w:rPr>
          <w:i w:val="false"/>
          <w:iCs w:val="false"/>
        </w:rPr>
        <w:t xml:space="preserve"> — fiziksel mekân, dijital katman ve konsolide zincirlerle online pazar yerleri arasında var olmayan satış kanalı.</w:t>
      </w:r>
    </w:p>
    <w:p>
      <w:pPr>
        <w:pStyle w:val="ListParagraph"/>
        <w:numPr>
          <w:ilvl w:val="0"/>
          <w:numId w:val="3"/>
        </w:numPr>
        <w:spacing w:after="80" w:line="290"/>
      </w:pPr>
      <w:r>
        <w:rPr>
          <w:b/>
          <w:bCs/>
          <w:i w:val="false"/>
          <w:iCs w:val="false"/>
        </w:rPr>
        <w:t xml:space="preserve">Kullanıcılar, Ziyaretçiler ve Ötesi</w:t>
      </w:r>
      <w:r>
        <w:rPr>
          <w:i w:val="false"/>
          <w:iCs w:val="false"/>
        </w:rPr>
        <w:t xml:space="preserve"> — üç üyelik ailesi: binayı kullananlar, ziyaret edenler ve içinde durmadan bağlı olanlar.</w:t>
      </w:r>
    </w:p>
    <w:p>
      <w:pPr>
        <w:pStyle w:val="ListParagraph"/>
        <w:numPr>
          <w:ilvl w:val="0"/>
          <w:numId w:val="3"/>
        </w:numPr>
        <w:spacing w:after="80" w:line="290"/>
      </w:pPr>
      <w:r>
        <w:rPr>
          <w:b/>
          <w:bCs/>
          <w:i w:val="false"/>
          <w:iCs w:val="false"/>
        </w:rPr>
        <w:t xml:space="preserve">Erişim değil tanınırlık</w:t>
      </w:r>
      <w:r>
        <w:rPr>
          <w:i w:val="false"/>
          <w:iCs w:val="false"/>
        </w:rPr>
        <w:t xml:space="preserve"> — üyeliğin kurucu ilkesi: kapı açıktır; kademe kimin tanıştırılacağına, kimin öğretebileceğine, kimin hesap vereceğine karar verir.</w:t>
      </w:r>
    </w:p>
    <w:p>
      <w:pPr>
        <w:pStyle w:val="ListParagraph"/>
        <w:numPr>
          <w:ilvl w:val="0"/>
          <w:numId w:val="3"/>
        </w:numPr>
        <w:spacing w:after="80" w:line="290"/>
      </w:pPr>
      <w:r>
        <w:rPr>
          <w:b/>
          <w:bCs/>
          <w:i w:val="false"/>
          <w:iCs w:val="false"/>
        </w:rPr>
        <w:t xml:space="preserve">Geri ödeme kuralı</w:t>
      </w:r>
      <w:r>
        <w:rPr>
          <w:i w:val="false"/>
          <w:iCs w:val="false"/>
        </w:rPr>
        <w:t xml:space="preserve"> — üye ücretin 30–45 gün içinde geri döndüğünü hissetmelidir.</w:t>
      </w:r>
    </w:p>
    <w:p>
      <w:pPr>
        <w:pStyle w:val="ListParagraph"/>
        <w:numPr>
          <w:ilvl w:val="0"/>
          <w:numId w:val="3"/>
        </w:numPr>
        <w:spacing w:after="80" w:line="290"/>
      </w:pPr>
      <w:r>
        <w:rPr>
          <w:b/>
          <w:bCs/>
          <w:i w:val="false"/>
          <w:iCs w:val="false"/>
        </w:rPr>
        <w:t xml:space="preserve">Egemen ray</w:t>
      </w:r>
      <w:r>
        <w:rPr>
          <w:i w:val="false"/>
          <w:iCs w:val="false"/>
        </w:rPr>
        <w:t xml:space="preserve"> — üçüncü taraf raylardan bağımsız, her zaman canlı olan Atmosphere'in kendi rezervasyon yüzeyi (OffNdOn).</w:t>
      </w:r>
    </w:p>
    <w:p>
      <w:pPr>
        <w:pStyle w:val="ListParagraph"/>
        <w:numPr>
          <w:ilvl w:val="0"/>
          <w:numId w:val="3"/>
        </w:numPr>
        <w:spacing w:after="80" w:line="290"/>
      </w:pPr>
      <w:r>
        <w:rPr>
          <w:b/>
          <w:bCs/>
          <w:i w:val="false"/>
          <w:iCs w:val="false"/>
        </w:rPr>
        <w:t xml:space="preserve">Cup League / Promising League</w:t>
      </w:r>
      <w:r>
        <w:rPr>
          <w:i w:val="false"/>
          <w:iCs w:val="false"/>
        </w:rPr>
        <w:t xml:space="preserve"> — 10M–250M $ ölçeklenen markalar / 1M+ $ satıcılar; çekirdek talep nüfusu.</w:t>
      </w:r>
    </w:p>
    <w:p>
      <w:pPr>
        <w:pStyle w:val="ListParagraph"/>
        <w:numPr>
          <w:ilvl w:val="0"/>
          <w:numId w:val="3"/>
        </w:numPr>
        <w:spacing w:after="80" w:line="290"/>
      </w:pPr>
      <w:r>
        <w:rPr>
          <w:b/>
          <w:bCs/>
          <w:i w:val="false"/>
          <w:iCs w:val="false"/>
        </w:rPr>
        <w:t xml:space="preserve">Ray-anchor</w:t>
      </w:r>
      <w:r>
        <w:rPr>
          <w:i w:val="false"/>
          <w:iCs w:val="false"/>
        </w:rPr>
        <w:t xml:space="preserve"> — pozisyonları tek anlaşmayla dolduran platform (Etsy, Faire, Depop, MakerWorld).</w:t>
      </w:r>
    </w:p>
    <w:p>
      <w:pPr>
        <w:pStyle w:val="ListParagraph"/>
        <w:numPr>
          <w:ilvl w:val="0"/>
          <w:numId w:val="3"/>
        </w:numPr>
        <w:spacing w:after="80" w:line="290"/>
      </w:pPr>
      <w:r>
        <w:rPr>
          <w:b/>
          <w:bCs/>
          <w:i w:val="false"/>
          <w:iCs w:val="false"/>
        </w:rPr>
        <w:t xml:space="preserve">PEIT™</w:t>
      </w:r>
      <w:r>
        <w:rPr>
          <w:i w:val="false"/>
          <w:iCs w:val="false"/>
        </w:rPr>
        <w:t xml:space="preserve"> — Phygital Estate Investment Trust; ölçek için hazır tutulan REIT-artı-operatör tasarımı.</w:t>
      </w:r>
    </w:p>
    <w:p>
      <w:pPr>
        <w:pStyle w:val="ListParagraph"/>
        <w:numPr>
          <w:ilvl w:val="0"/>
          <w:numId w:val="3"/>
        </w:numPr>
        <w:spacing w:after="80" w:line="290"/>
      </w:pPr>
      <w:r>
        <w:rPr>
          <w:b/>
          <w:bCs/>
          <w:i w:val="false"/>
          <w:iCs w:val="false"/>
        </w:rPr>
        <w:t xml:space="preserve">Vekâlet Mandası</w:t>
      </w:r>
      <w:r>
        <w:rPr>
          <w:i w:val="false"/>
          <w:iCs w:val="false"/>
        </w:rPr>
        <w:t xml:space="preserve"> — Hukuk Müttefiki'nin ekonomisi, güvene dayalı sorumluluğu, dar yönetişimi ve emaneti.</w:t>
      </w:r>
    </w:p>
    <w:p>
      <w:pPr>
        <w:pStyle w:val="ListParagraph"/>
        <w:numPr>
          <w:ilvl w:val="0"/>
          <w:numId w:val="3"/>
        </w:numPr>
        <w:spacing w:after="80" w:line="290"/>
      </w:pPr>
      <w:r>
        <w:rPr>
          <w:b/>
          <w:bCs/>
          <w:i w:val="false"/>
          <w:iCs w:val="false"/>
        </w:rPr>
        <w:t xml:space="preserve">WeWork yarası / REEF yarası / Industrious doktrini</w:t>
      </w:r>
      <w:r>
        <w:rPr>
          <w:i w:val="false"/>
          <w:iCs w:val="false"/>
        </w:rPr>
        <w:t xml:space="preserve"> — her belgeye yazılan üç emsal kuralı.</w:t>
      </w:r>
    </w:p>
    <w:sectPr>
      <w:headerReference w:type="default" r:id="rId7"/>
      <w:headerReference w:type="first" r:id="rId8"/>
      <w:footerReference w:type="default" r:id="rId9"/>
      <w:footerReference w:type="first" r:id="rId10"/>
      <w:pgSz w:w="12240" w:h="15840" w:orient="portrait"/>
      <w:pgMar w:top="1200" w:right="1080" w:bottom="1100" w:left="1080" w:header="540" w:footer="54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5DBD6" w:sz="6" w:space="4"/>
      </w:pBdr>
      <w:tabs>
        <w:tab w:val="right" w:pos="10080"/>
      </w:tabs>
    </w:pPr>
    <w:r>
      <w:rPr>
        <w:rFonts w:ascii="Calibri" w:cs="Calibri" w:eastAsia="Calibri" w:hAnsi="Calibri"/>
        <w:color w:val="4A5561"/>
        <w:sz w:val="16"/>
        <w:szCs w:val="16"/>
      </w:rPr>
      <w:t xml:space="preserve">Value Masters Academy · A Level Alliances (ALA)</w:t>
    </w:r>
    <w:r>
      <w:rPr>
        <w:rFonts w:ascii="Calibri" w:cs="Calibri" w:eastAsia="Calibri" w:hAnsi="Calibri"/>
        <w:color w:val="4A5561"/>
        <w:sz w:val="16"/>
        <w:szCs w:val="16"/>
      </w:rPr>
      <w:t xml:space="preserve">	Sayfa </w:t>
    </w:r>
    <w:r>
      <w:rPr>
        <w:rFonts w:ascii="Calibri" w:cs="Calibri" w:eastAsia="Calibri" w:hAnsi="Calibri"/>
        <w:color w:val="4A5561"/>
        <w:sz w:val="16"/>
        <w:szCs w:val="16"/>
      </w:rPr>
      <w:fldChar w:fldCharType="begin"/>
      <w:instrText xml:space="preserve">PAGE</w:instrText>
      <w:fldChar w:fldCharType="separate"/>
      <w:fldChar w:fldCharType="end"/>
    </w:r>
    <w:r>
      <w:rPr>
        <w:rFonts w:ascii="Calibri" w:cs="Calibri" w:eastAsia="Calibri" w:hAnsi="Calibri"/>
        <w:color w:val="4A5561"/>
        <w:sz w:val="16"/>
        <w:szCs w:val="16"/>
      </w:rPr>
      <w:t xml:space="preserve"> / </w:t>
    </w:r>
    <w:r>
      <w:rPr>
        <w:rFonts w:ascii="Calibri" w:cs="Calibri" w:eastAsia="Calibri" w:hAnsi="Calibri"/>
        <w:color w:val="4A5561"/>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rFonts w:ascii="Calibri" w:cs="Calibri" w:eastAsia="Calibri" w:hAnsi="Calibri"/>
        <w:color w:val="4A5561"/>
        <w:sz w:val="14"/>
        <w:szCs w:val="14"/>
      </w:rPr>
      <w:t xml:space="preserve">Tavsiye uyarısı. Value Masters Academy tarafından A Level Alliances için hazırlanan tüm bilgi, belge, tanımlama, hesaplama ve fiyatlandırmalar Kurucular Konseyi'ne tavsiye niteliğinde hazırlanmıştır. Müzakere ve karar için sunulmuş olup bir karar, taahhüt, menkul kıymet arzı ya da yatırım, hukuk, vergi veya muhasebe tavsiyesi teşkil etmez. Kamuya açık kaynaklardan alınan rakamlar bağımsız olarak doğrulanmamıştır; gösterge bantlar ve örnek çerçeveler projeksiyon değildir. Value Masters Academy — A Level Alliances (ALA) için · Atmosphere™ · Kuruluş Turu Playbook'u · Rev.02 · 3 Eylül 2026 · Kesinlikle özel ve gizli — yalnızca Kurucular Konseyi ve kabul edilmiş müttefikler için. Atmosphere™, 5th Wall Phygital Elements™, PingPod™, OffNdOn™, HuxNet™, Fifth Signal™ ve PEIT™, A Level Alliances / Value Masters Group markalarıdır.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5DBD6" w:sz="6" w:space="4"/>
      </w:pBdr>
      <w:tabs>
        <w:tab w:val="right" w:pos="10080"/>
      </w:tabs>
    </w:pPr>
    <w:r>
      <w:rPr>
        <w:rFonts w:ascii="Calibri" w:cs="Calibri" w:eastAsia="Calibri" w:hAnsi="Calibri"/>
        <w:color w:val="4A5561"/>
        <w:sz w:val="16"/>
        <w:szCs w:val="16"/>
      </w:rPr>
      <w:t xml:space="preserve">Atmosphere™ · Kuruluş Turu Playbook'u · Rev.02</w:t>
    </w:r>
    <w:r>
      <w:rPr>
        <w:rFonts w:ascii="Calibri" w:cs="Calibri" w:eastAsia="Calibri" w:hAnsi="Calibri"/>
        <w:color w:val="4A5561"/>
        <w:sz w:val="16"/>
        <w:szCs w:val="16"/>
      </w:rPr>
      <w:t xml:space="preserve">	Kesinlikle özel ve gizli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abstractNum w:abstractNumId="3" w15:restartNumberingAfterBreak="0">
    <w:multiLevelType w:val="hybridMultilevel"/>
    <w:lvl w:ilvl="0" w15:tentative="1">
      <w:start w:val="1"/>
      <w:numFmt w:val="decimal"/>
      <w:lvlText w:val="%1."/>
      <w:lvlJc w:val="left"/>
      <w:pPr>
        <w:ind w:left="480" w:hanging="280"/>
      </w:pPr>
    </w:lvl>
  </w:abstractNum>
  <w:abstractNum w:abstractNumId="4" w15:restartNumberingAfterBreak="0">
    <w:multiLevelType w:val="hybridMultilevel"/>
    <w:lvl w:ilvl="0" w15:tentative="1">
      <w:start w:val="1"/>
      <w:numFmt w:val="decimal"/>
      <w:lvlText w:val="%1."/>
      <w:lvlJc w:val="left"/>
      <w:pPr>
        <w:ind w:left="480" w:hanging="280"/>
      </w:pPr>
    </w:lvl>
  </w:abstractNum>
  <w:abstractNum w:abstractNumId="5" w15:restartNumberingAfterBreak="0">
    <w:multiLevelType w:val="hybridMultilevel"/>
    <w:lvl w:ilvl="0" w15:tentative="1">
      <w:start w:val="1"/>
      <w:numFmt w:val="decimal"/>
      <w:lvlText w:val="%1."/>
      <w:lvlJc w:val="left"/>
      <w:pPr>
        <w:ind w:left="480" w:hanging="280"/>
      </w:pPr>
    </w:lvl>
  </w:abstractNum>
  <w:abstractNum w:abstractNumId="6" w15:restartNumberingAfterBreak="0">
    <w:multiLevelType w:val="hybridMultilevel"/>
    <w:lvl w:ilvl="0" w15:tentative="1">
      <w:start w:val="1"/>
      <w:numFmt w:val="decimal"/>
      <w:lvlText w:val="%1."/>
      <w:lvlJc w:val="left"/>
      <w:pPr>
        <w:ind w:left="480" w:hanging="280"/>
      </w:pPr>
    </w:lvl>
  </w:abstractNum>
  <w:abstractNum w:abstractNumId="7" w15:restartNumberingAfterBreak="0">
    <w:multiLevelType w:val="hybridMultilevel"/>
    <w:lvl w:ilvl="0" w15:tentative="1">
      <w:start w:val="1"/>
      <w:numFmt w:val="decimal"/>
      <w:lvlText w:val="%1."/>
      <w:lvlJc w:val="left"/>
      <w:pPr>
        <w:ind w:left="480" w:hanging="280"/>
      </w:pPr>
    </w:lvl>
  </w:abstractNum>
  <w:abstractNum w:abstractNumId="8" w15:restartNumberingAfterBreak="0">
    <w:multiLevelType w:val="hybridMultilevel"/>
    <w:lvl w:ilvl="0" w15:tentative="1">
      <w:start w:val="1"/>
      <w:numFmt w:val="decimal"/>
      <w:lvlText w:val="%1."/>
      <w:lvlJc w:val="left"/>
      <w:pPr>
        <w:ind w:left="480" w:hanging="280"/>
      </w:pPr>
    </w:lvl>
  </w:abstractNum>
  <w:abstractNum w:abstractNumId="9" w15:restartNumberingAfterBreak="0">
    <w:multiLevelType w:val="hybridMultilevel"/>
    <w:lvl w:ilvl="0" w15:tentative="1">
      <w:start w:val="1"/>
      <w:numFmt w:val="decimal"/>
      <w:lvlText w:val="%1."/>
      <w:lvlJc w:val="left"/>
      <w:pPr>
        <w:ind w:left="480" w:hanging="280"/>
      </w:pPr>
    </w:lvl>
  </w:abstractNum>
  <w:abstractNum w:abstractNumId="10" w15:restartNumberingAfterBreak="0">
    <w:multiLevelType w:val="hybridMultilevel"/>
    <w:lvl w:ilvl="0" w15:tentative="1">
      <w:start w:val="1"/>
      <w:numFmt w:val="decimal"/>
      <w:lvlText w:val="%1."/>
      <w:lvlJc w:val="left"/>
      <w:pPr>
        <w:ind w:left="480" w:hanging="280"/>
      </w:pPr>
    </w:lvl>
  </w:abstractNum>
  <w:abstractNum w:abstractNumId="11" w15:restartNumberingAfterBreak="0">
    <w:multiLevelType w:val="hybridMultilevel"/>
    <w:lvl w:ilvl="0" w15:tentative="1">
      <w:start w:val="1"/>
      <w:numFmt w:val="decimal"/>
      <w:lvlText w:val="%1."/>
      <w:lvlJc w:val="left"/>
      <w:pPr>
        <w:ind w:left="480" w:hanging="280"/>
      </w:pPr>
    </w:lvl>
  </w:abstractNum>
  <w:abstractNum w:abstractNumId="12" w15:restartNumberingAfterBreak="0">
    <w:multiLevelType w:val="hybridMultilevel"/>
    <w:lvl w:ilvl="0" w15:tentative="1">
      <w:start w:val="1"/>
      <w:numFmt w:val="decimal"/>
      <w:lvlText w:val="%1."/>
      <w:lvlJc w:val="left"/>
      <w:pPr>
        <w:ind w:left="480" w:hanging="280"/>
      </w:pPr>
    </w:lvl>
  </w:abstractNum>
  <w:abstractNum w:abstractNumId="13" w15:restartNumberingAfterBreak="0">
    <w:multiLevelType w:val="hybridMultilevel"/>
    <w:lvl w:ilvl="0" w15:tentative="1">
      <w:start w:val="1"/>
      <w:numFmt w:val="decimal"/>
      <w:lvlText w:val="%1."/>
      <w:lvlJc w:val="left"/>
      <w:pPr>
        <w:ind w:left="480" w:hanging="280"/>
      </w:pPr>
    </w:lvl>
  </w:abstractNum>
  <w:abstractNum w:abstractNumId="14" w15:restartNumberingAfterBreak="0">
    <w:multiLevelType w:val="hybridMultilevel"/>
    <w:lvl w:ilvl="0" w15:tentative="1">
      <w:start w:val="1"/>
      <w:numFmt w:val="decimal"/>
      <w:lvlText w:val="%1."/>
      <w:lvlJc w:val="left"/>
      <w:pPr>
        <w:ind w:left="480" w:hanging="280"/>
      </w:pPr>
    </w:lvl>
  </w:abstractNum>
  <w:abstractNum w:abstractNumId="15" w15:restartNumberingAfterBreak="0">
    <w:multiLevelType w:val="hybridMultilevel"/>
    <w:lvl w:ilvl="0" w15:tentative="1">
      <w:start w:val="1"/>
      <w:numFmt w:val="decimal"/>
      <w:lvlText w:val="%1."/>
      <w:lvlJc w:val="left"/>
      <w:pPr>
        <w:ind w:left="480" w:hanging="280"/>
      </w:pPr>
    </w:lvl>
  </w:abstractNum>
  <w:abstractNum w:abstractNumId="16" w15:restartNumberingAfterBreak="0">
    <w:multiLevelType w:val="hybridMultilevel"/>
    <w:lvl w:ilvl="0" w15:tentative="1">
      <w:start w:val="1"/>
      <w:numFmt w:val="decimal"/>
      <w:lvlText w:val="%1."/>
      <w:lvlJc w:val="left"/>
      <w:pPr>
        <w:ind w:left="480" w:hanging="280"/>
      </w:pPr>
    </w:lvl>
  </w:abstractNum>
  <w:abstractNum w:abstractNumId="17" w15:restartNumberingAfterBreak="0">
    <w:multiLevelType w:val="hybridMultilevel"/>
    <w:lvl w:ilvl="0" w15:tentative="1">
      <w:start w:val="1"/>
      <w:numFmt w:val="decimal"/>
      <w:lvlText w:val="%1."/>
      <w:lvlJc w:val="left"/>
      <w:pPr>
        <w:ind w:left="480" w:hanging="280"/>
      </w:pPr>
    </w:lvl>
  </w:abstractNum>
  <w:num w:numId="1">
    <w:abstractNumId w:val="1"/>
    <w:lvlOverride w:ilvl="0">
      <w:startOverride w:val="1"/>
    </w:lvlOverride>
  </w:num>
  <w:num w:numId="2">
    <w:abstractNumId w:val="7"/>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5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B2530" w:sz="12" w:space="6"/>
      </w:pBdr>
      <w:spacing w:after="240" w:before="120"/>
      <w:outlineLvl w:val="0"/>
    </w:pPr>
    <w:rPr>
      <w:rFonts w:ascii="Georgia" w:cs="Georgia" w:eastAsia="Georgia" w:hAnsi="Georgia"/>
      <w:b/>
      <w:bCs/>
      <w:color w:val="1B2530"/>
      <w:sz w:val="34"/>
      <w:szCs w:val="34"/>
    </w:rPr>
  </w:style>
  <w:style w:type="paragraph" w:styleId="Heading2">
    <w:name w:val="Heading 2"/>
    <w:basedOn w:val="Normal"/>
    <w:next w:val="Normal"/>
    <w:qFormat/>
    <w:pPr>
      <w:keepNext/>
      <w:spacing w:after="120" w:before="280"/>
      <w:outlineLvl w:val="1"/>
    </w:pPr>
    <w:rPr>
      <w:rFonts w:ascii="Georgia" w:cs="Georgia" w:eastAsia="Georgia" w:hAnsi="Georgia"/>
      <w:b/>
      <w:bCs/>
      <w:color w:val="0F5F5C"/>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Kuruluş Turu Playbook'u</dc:title>
  <dc:creator>Value Masters Academy</dc:creator>
  <dc:description>Atmosphere'in ilk mekânı için iş planı ve onu finanse eden ittifakın playbook'u: yedi gelir hattı, on bir pozisyonlu iskelet, erişim değil tanınırlık satan bir üyelik mimarisi ve iki kapılı tranşla serbest bırakılan ~8 milyon dolarlık tur.</dc:description>
  <cp:lastModifiedBy>Un-named</cp:lastModifiedBy>
  <cp:revision>1</cp:revision>
  <dcterms:created xsi:type="dcterms:W3CDTF">2026-09-04T02:28:37.355Z</dcterms:created>
  <dcterms:modified xsi:type="dcterms:W3CDTF">2026-09-04T02:28:37.355Z</dcterms:modified>
</cp:coreProperties>
</file>

<file path=docProps/custom.xml><?xml version="1.0" encoding="utf-8"?>
<Properties xmlns="http://schemas.openxmlformats.org/officeDocument/2006/custom-properties" xmlns:vt="http://schemas.openxmlformats.org/officeDocument/2006/docPropsVTypes"/>
</file>